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rPr>
      </w:pPr>
      <w:r>
        <w:rPr>
          <w:rFonts w:hint="eastAsia" w:ascii="宋体" w:hAnsi="宋体" w:cs="宋体"/>
          <w:b/>
          <w:color w:val="000000" w:themeColor="text1"/>
          <w:sz w:val="36"/>
        </w:rPr>
        <w:t>项目编号：2019-026S-2</w:t>
      </w: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szCs w:val="36"/>
        </w:rPr>
      </w:pPr>
      <w:r>
        <w:rPr>
          <w:rFonts w:hint="eastAsia" w:ascii="宋体" w:hAnsi="宋体" w:cs="宋体"/>
          <w:b/>
          <w:color w:val="000000" w:themeColor="text1"/>
          <w:sz w:val="36"/>
          <w:szCs w:val="36"/>
        </w:rPr>
        <w:t xml:space="preserve">项目名称：盐城工业职业技术学院网络安全实验室建设项目 </w:t>
      </w: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pStyle w:val="53"/>
        <w:rPr>
          <w:rFonts w:ascii="宋体" w:hAnsi="宋体" w:cs="宋体"/>
          <w:color w:val="000000" w:themeColor="text1"/>
        </w:rPr>
      </w:pPr>
    </w:p>
    <w:p>
      <w:pPr>
        <w:pStyle w:val="53"/>
        <w:rPr>
          <w:rFonts w:ascii="宋体" w:hAnsi="宋体" w:cs="宋体"/>
          <w:color w:val="000000" w:themeColor="text1"/>
        </w:rPr>
      </w:pPr>
    </w:p>
    <w:p>
      <w:pPr>
        <w:jc w:val="center"/>
        <w:rPr>
          <w:rFonts w:ascii="宋体" w:hAnsi="宋体" w:cs="宋体"/>
          <w:bCs/>
          <w:color w:val="000000" w:themeColor="text1"/>
          <w:sz w:val="36"/>
          <w:szCs w:val="36"/>
        </w:rPr>
      </w:pPr>
      <w:r>
        <w:rPr>
          <w:rFonts w:hint="eastAsia" w:ascii="宋体" w:hAnsi="宋体" w:cs="宋体"/>
          <w:bCs/>
          <w:color w:val="000000" w:themeColor="text1"/>
          <w:sz w:val="36"/>
          <w:szCs w:val="36"/>
        </w:rPr>
        <w:t>盐城工业职业技术学院</w:t>
      </w:r>
    </w:p>
    <w:p>
      <w:pPr>
        <w:jc w:val="center"/>
        <w:rPr>
          <w:rFonts w:ascii="宋体" w:hAnsi="宋体" w:cs="宋体"/>
          <w:color w:val="000000" w:themeColor="text1"/>
          <w:sz w:val="36"/>
          <w:szCs w:val="36"/>
        </w:rPr>
      </w:pPr>
      <w:r>
        <w:rPr>
          <w:rFonts w:hint="eastAsia" w:ascii="宋体" w:hAnsi="宋体" w:cs="宋体"/>
          <w:color w:val="000000" w:themeColor="text1"/>
          <w:sz w:val="36"/>
          <w:szCs w:val="36"/>
        </w:rPr>
        <w:t>江苏双清工程造价咨询有限公司</w:t>
      </w:r>
    </w:p>
    <w:p>
      <w:pPr>
        <w:jc w:val="center"/>
        <w:rPr>
          <w:rFonts w:ascii="宋体" w:hAnsi="宋体" w:cs="宋体"/>
          <w:color w:val="000000" w:themeColor="text1"/>
          <w:sz w:val="36"/>
          <w:szCs w:val="36"/>
        </w:rPr>
      </w:pPr>
      <w:r>
        <w:rPr>
          <w:rFonts w:hint="eastAsia" w:ascii="宋体" w:hAnsi="宋体" w:cs="宋体"/>
          <w:color w:val="000000" w:themeColor="text1"/>
          <w:sz w:val="36"/>
          <w:szCs w:val="36"/>
        </w:rPr>
        <w:t xml:space="preserve"> 2019年11月13日</w:t>
      </w:r>
    </w:p>
    <w:p>
      <w:pPr>
        <w:spacing w:line="480" w:lineRule="auto"/>
        <w:jc w:val="center"/>
        <w:outlineLvl w:val="0"/>
        <w:rPr>
          <w:rFonts w:ascii="宋体" w:hAnsi="宋体" w:cs="宋体"/>
          <w:b/>
          <w:color w:val="000000" w:themeColor="text1"/>
          <w:sz w:val="44"/>
        </w:rPr>
        <w:sectPr>
          <w:headerReference r:id="rId3" w:type="default"/>
          <w:footerReference r:id="rId4" w:type="default"/>
          <w:footerReference r:id="rId5" w:type="even"/>
          <w:pgSz w:w="11906" w:h="16838"/>
          <w:pgMar w:top="1418" w:right="1588" w:bottom="1418" w:left="1365" w:header="851" w:footer="907" w:gutter="0"/>
          <w:pgNumType w:fmt="numberInDash" w:start="0"/>
          <w:cols w:space="720" w:num="1"/>
          <w:docGrid w:type="lines" w:linePitch="290" w:charSpace="0"/>
        </w:sectPr>
      </w:pPr>
      <w:bookmarkStart w:id="0" w:name="_Toc120614210"/>
      <w:bookmarkStart w:id="1" w:name="_Toc20823272"/>
      <w:bookmarkStart w:id="2" w:name="_Toc513029200"/>
      <w:bookmarkStart w:id="3" w:name="_Toc523127445"/>
      <w:bookmarkStart w:id="4" w:name="_Toc16938516"/>
      <w:bookmarkStart w:id="5" w:name="_Toc479757206"/>
    </w:p>
    <w:p>
      <w:pPr>
        <w:rPr>
          <w:rFonts w:ascii="宋体" w:hAnsi="宋体" w:cs="宋体"/>
          <w:color w:val="000000" w:themeColor="text1"/>
        </w:rPr>
      </w:pPr>
      <w:bookmarkStart w:id="6" w:name="_Toc18480370"/>
      <w:bookmarkStart w:id="7" w:name="_Toc18478528"/>
    </w:p>
    <w:p>
      <w:pPr>
        <w:rPr>
          <w:rFonts w:ascii="宋体" w:hAnsi="宋体" w:cs="宋体"/>
          <w:color w:val="000000" w:themeColor="text1"/>
        </w:rPr>
      </w:pPr>
    </w:p>
    <w:p>
      <w:pPr>
        <w:rPr>
          <w:rFonts w:ascii="宋体" w:hAnsi="宋体" w:cs="宋体"/>
          <w:color w:val="000000" w:themeColor="text1"/>
        </w:rPr>
      </w:pPr>
    </w:p>
    <w:p>
      <w:pPr>
        <w:jc w:val="center"/>
        <w:rPr>
          <w:rFonts w:ascii="宋体" w:hAnsi="宋体" w:cs="宋体"/>
          <w:b/>
          <w:color w:val="000000" w:themeColor="text1"/>
          <w:sz w:val="44"/>
          <w:szCs w:val="44"/>
        </w:rPr>
      </w:pPr>
      <w:r>
        <w:rPr>
          <w:rFonts w:hint="eastAsia" w:ascii="宋体" w:hAnsi="宋体" w:cs="宋体"/>
          <w:b/>
          <w:color w:val="000000" w:themeColor="text1"/>
          <w:sz w:val="44"/>
          <w:szCs w:val="44"/>
        </w:rPr>
        <w:t>总  目  录</w:t>
      </w:r>
      <w:bookmarkEnd w:id="6"/>
      <w:bookmarkEnd w:id="7"/>
    </w:p>
    <w:p>
      <w:pPr>
        <w:rPr>
          <w:rFonts w:ascii="宋体" w:hAnsi="宋体" w:cs="宋体"/>
          <w:color w:val="000000" w:themeColor="text1"/>
          <w:sz w:val="36"/>
          <w:szCs w:val="36"/>
        </w:rPr>
      </w:pPr>
    </w:p>
    <w:p>
      <w:pPr>
        <w:pStyle w:val="30"/>
        <w:spacing w:line="480" w:lineRule="auto"/>
        <w:ind w:left="708" w:leftChars="337"/>
        <w:rPr>
          <w:rFonts w:cs="宋体"/>
          <w:caps w:val="0"/>
          <w:color w:val="000000" w:themeColor="text1"/>
          <w:sz w:val="36"/>
          <w:szCs w:val="36"/>
        </w:rPr>
      </w:pPr>
      <w:r>
        <w:rPr>
          <w:rFonts w:hint="eastAsia" w:cs="宋体"/>
          <w:color w:val="000000" w:themeColor="text1"/>
          <w:sz w:val="36"/>
          <w:szCs w:val="36"/>
        </w:rPr>
        <w:fldChar w:fldCharType="begin"/>
      </w:r>
      <w:r>
        <w:rPr>
          <w:rFonts w:hint="eastAsia" w:cs="宋体"/>
          <w:color w:val="000000" w:themeColor="text1"/>
          <w:sz w:val="36"/>
          <w:szCs w:val="36"/>
        </w:rPr>
        <w:instrText xml:space="preserve"> TOC \o "1-1" \h \z \u </w:instrText>
      </w:r>
      <w:r>
        <w:rPr>
          <w:rFonts w:hint="eastAsia" w:cs="宋体"/>
          <w:color w:val="000000" w:themeColor="text1"/>
          <w:sz w:val="36"/>
          <w:szCs w:val="36"/>
        </w:rPr>
        <w:fldChar w:fldCharType="separate"/>
      </w:r>
      <w:r>
        <w:fldChar w:fldCharType="begin"/>
      </w:r>
      <w:r>
        <w:instrText xml:space="preserve"> HYPERLINK \l "_Toc18481234" </w:instrText>
      </w:r>
      <w:r>
        <w:fldChar w:fldCharType="separate"/>
      </w:r>
      <w:r>
        <w:rPr>
          <w:rStyle w:val="51"/>
          <w:rFonts w:hint="default" w:ascii="宋体" w:eastAsia="宋体" w:cs="宋体"/>
          <w:color w:val="000000" w:themeColor="text1"/>
          <w:sz w:val="36"/>
          <w:szCs w:val="36"/>
        </w:rPr>
        <w:t>第一章  招标公告</w:t>
      </w:r>
      <w:r>
        <w:rPr>
          <w:rFonts w:hint="eastAsia" w:cs="宋体"/>
          <w:color w:val="000000" w:themeColor="text1"/>
          <w:sz w:val="36"/>
          <w:szCs w:val="36"/>
        </w:rPr>
        <w:tab/>
      </w:r>
      <w:r>
        <w:rPr>
          <w:rFonts w:hint="eastAsia" w:cs="宋体"/>
          <w:color w:val="000000" w:themeColor="text1"/>
          <w:sz w:val="36"/>
          <w:szCs w:val="36"/>
        </w:rPr>
        <w:fldChar w:fldCharType="end"/>
      </w:r>
    </w:p>
    <w:p>
      <w:pPr>
        <w:pStyle w:val="30"/>
        <w:spacing w:line="480" w:lineRule="auto"/>
        <w:ind w:left="708" w:leftChars="337"/>
        <w:rPr>
          <w:rFonts w:cs="宋体"/>
          <w:caps w:val="0"/>
          <w:color w:val="000000" w:themeColor="text1"/>
          <w:sz w:val="36"/>
          <w:szCs w:val="36"/>
        </w:rPr>
      </w:pPr>
      <w:r>
        <w:fldChar w:fldCharType="begin"/>
      </w:r>
      <w:r>
        <w:instrText xml:space="preserve"> HYPERLINK \l "_Toc18481235" </w:instrText>
      </w:r>
      <w:r>
        <w:fldChar w:fldCharType="separate"/>
      </w:r>
      <w:r>
        <w:rPr>
          <w:rStyle w:val="51"/>
          <w:rFonts w:hint="default" w:ascii="宋体" w:eastAsia="宋体" w:cs="宋体"/>
          <w:color w:val="000000" w:themeColor="text1"/>
          <w:sz w:val="36"/>
          <w:szCs w:val="36"/>
        </w:rPr>
        <w:t>第二章  投标人须知</w:t>
      </w:r>
      <w:r>
        <w:rPr>
          <w:rFonts w:hint="eastAsia" w:cs="宋体"/>
          <w:color w:val="000000" w:themeColor="text1"/>
          <w:sz w:val="36"/>
          <w:szCs w:val="36"/>
        </w:rPr>
        <w:tab/>
      </w:r>
      <w:r>
        <w:rPr>
          <w:rFonts w:hint="eastAsia" w:cs="宋体"/>
          <w:color w:val="000000" w:themeColor="text1"/>
          <w:sz w:val="36"/>
          <w:szCs w:val="36"/>
        </w:rPr>
        <w:fldChar w:fldCharType="end"/>
      </w:r>
    </w:p>
    <w:p>
      <w:pPr>
        <w:pStyle w:val="30"/>
        <w:spacing w:line="480" w:lineRule="auto"/>
        <w:ind w:left="708" w:leftChars="337"/>
        <w:rPr>
          <w:rFonts w:cs="宋体"/>
          <w:caps w:val="0"/>
          <w:color w:val="000000" w:themeColor="text1"/>
          <w:sz w:val="36"/>
          <w:szCs w:val="36"/>
        </w:rPr>
      </w:pPr>
      <w:r>
        <w:fldChar w:fldCharType="begin"/>
      </w:r>
      <w:r>
        <w:instrText xml:space="preserve"> HYPERLINK \l "_Toc18481236" </w:instrText>
      </w:r>
      <w:r>
        <w:fldChar w:fldCharType="separate"/>
      </w:r>
      <w:r>
        <w:rPr>
          <w:rStyle w:val="51"/>
          <w:rFonts w:hint="default" w:ascii="宋体" w:eastAsia="宋体" w:cs="宋体"/>
          <w:color w:val="000000" w:themeColor="text1"/>
          <w:sz w:val="36"/>
          <w:szCs w:val="36"/>
        </w:rPr>
        <w:t>第三章  合同条款及格式</w:t>
      </w:r>
      <w:r>
        <w:rPr>
          <w:rFonts w:hint="eastAsia" w:cs="宋体"/>
          <w:color w:val="000000" w:themeColor="text1"/>
          <w:sz w:val="36"/>
          <w:szCs w:val="36"/>
        </w:rPr>
        <w:tab/>
      </w:r>
      <w:r>
        <w:rPr>
          <w:rFonts w:hint="eastAsia" w:cs="宋体"/>
          <w:color w:val="000000" w:themeColor="text1"/>
          <w:sz w:val="36"/>
          <w:szCs w:val="36"/>
        </w:rPr>
        <w:fldChar w:fldCharType="end"/>
      </w:r>
    </w:p>
    <w:p>
      <w:pPr>
        <w:pStyle w:val="30"/>
        <w:spacing w:line="480" w:lineRule="auto"/>
        <w:ind w:left="708" w:leftChars="337"/>
        <w:rPr>
          <w:rFonts w:cs="宋体"/>
          <w:caps w:val="0"/>
          <w:color w:val="000000" w:themeColor="text1"/>
          <w:sz w:val="36"/>
          <w:szCs w:val="36"/>
        </w:rPr>
      </w:pPr>
      <w:r>
        <w:fldChar w:fldCharType="begin"/>
      </w:r>
      <w:r>
        <w:instrText xml:space="preserve"> HYPERLINK \l "_Toc18481237" </w:instrText>
      </w:r>
      <w:r>
        <w:fldChar w:fldCharType="separate"/>
      </w:r>
      <w:r>
        <w:rPr>
          <w:rStyle w:val="51"/>
          <w:rFonts w:hint="default" w:ascii="宋体" w:eastAsia="宋体" w:cs="宋体"/>
          <w:color w:val="000000" w:themeColor="text1"/>
          <w:sz w:val="36"/>
          <w:szCs w:val="36"/>
        </w:rPr>
        <w:t>第四章  项目需求</w:t>
      </w:r>
      <w:r>
        <w:rPr>
          <w:rFonts w:hint="eastAsia" w:cs="宋体"/>
          <w:color w:val="000000" w:themeColor="text1"/>
          <w:sz w:val="36"/>
          <w:szCs w:val="36"/>
        </w:rPr>
        <w:tab/>
      </w:r>
      <w:r>
        <w:rPr>
          <w:rFonts w:hint="eastAsia" w:cs="宋体"/>
          <w:color w:val="000000" w:themeColor="text1"/>
          <w:sz w:val="36"/>
          <w:szCs w:val="36"/>
        </w:rPr>
        <w:fldChar w:fldCharType="end"/>
      </w:r>
    </w:p>
    <w:p>
      <w:pPr>
        <w:pStyle w:val="30"/>
        <w:spacing w:line="480" w:lineRule="auto"/>
        <w:ind w:left="708" w:leftChars="337"/>
        <w:rPr>
          <w:rFonts w:cs="宋体"/>
          <w:caps w:val="0"/>
          <w:color w:val="000000" w:themeColor="text1"/>
          <w:sz w:val="36"/>
          <w:szCs w:val="36"/>
        </w:rPr>
      </w:pPr>
      <w:r>
        <w:fldChar w:fldCharType="begin"/>
      </w:r>
      <w:r>
        <w:instrText xml:space="preserve"> HYPERLINK \l "_Toc18481238" </w:instrText>
      </w:r>
      <w:r>
        <w:fldChar w:fldCharType="separate"/>
      </w:r>
      <w:r>
        <w:rPr>
          <w:rStyle w:val="51"/>
          <w:rFonts w:hint="default" w:ascii="宋体" w:eastAsia="宋体" w:cs="宋体"/>
          <w:color w:val="000000" w:themeColor="text1"/>
          <w:sz w:val="36"/>
          <w:szCs w:val="36"/>
        </w:rPr>
        <w:t>第五章  评标方法与评标标准</w:t>
      </w:r>
      <w:r>
        <w:rPr>
          <w:rFonts w:hint="eastAsia" w:cs="宋体"/>
          <w:color w:val="000000" w:themeColor="text1"/>
          <w:sz w:val="36"/>
          <w:szCs w:val="36"/>
        </w:rPr>
        <w:tab/>
      </w:r>
      <w:r>
        <w:rPr>
          <w:rFonts w:hint="eastAsia" w:cs="宋体"/>
          <w:color w:val="000000" w:themeColor="text1"/>
          <w:sz w:val="36"/>
          <w:szCs w:val="36"/>
        </w:rPr>
        <w:fldChar w:fldCharType="end"/>
      </w:r>
    </w:p>
    <w:p>
      <w:pPr>
        <w:pStyle w:val="30"/>
        <w:spacing w:line="480" w:lineRule="auto"/>
        <w:ind w:left="708" w:leftChars="337"/>
        <w:rPr>
          <w:rFonts w:cs="宋体"/>
          <w:caps w:val="0"/>
          <w:color w:val="000000" w:themeColor="text1"/>
          <w:sz w:val="36"/>
          <w:szCs w:val="36"/>
        </w:rPr>
      </w:pPr>
      <w:r>
        <w:fldChar w:fldCharType="begin"/>
      </w:r>
      <w:r>
        <w:instrText xml:space="preserve"> HYPERLINK \l "_Toc18481239" </w:instrText>
      </w:r>
      <w:r>
        <w:fldChar w:fldCharType="separate"/>
      </w:r>
      <w:r>
        <w:rPr>
          <w:rStyle w:val="51"/>
          <w:rFonts w:hint="default" w:ascii="宋体" w:eastAsia="宋体" w:cs="宋体"/>
          <w:color w:val="000000" w:themeColor="text1"/>
          <w:sz w:val="36"/>
          <w:szCs w:val="36"/>
        </w:rPr>
        <w:t>第六章  投标文件格式</w:t>
      </w:r>
      <w:r>
        <w:rPr>
          <w:rFonts w:hint="eastAsia" w:cs="宋体"/>
          <w:color w:val="000000" w:themeColor="text1"/>
          <w:sz w:val="36"/>
          <w:szCs w:val="36"/>
        </w:rPr>
        <w:tab/>
      </w:r>
      <w:r>
        <w:rPr>
          <w:rFonts w:hint="eastAsia" w:cs="宋体"/>
          <w:color w:val="000000" w:themeColor="text1"/>
          <w:sz w:val="36"/>
          <w:szCs w:val="36"/>
        </w:rPr>
        <w:fldChar w:fldCharType="end"/>
      </w:r>
    </w:p>
    <w:p>
      <w:pPr>
        <w:spacing w:line="480" w:lineRule="auto"/>
        <w:ind w:left="708" w:leftChars="337"/>
        <w:rPr>
          <w:rFonts w:ascii="宋体" w:hAnsi="宋体" w:cs="宋体"/>
          <w:color w:val="000000" w:themeColor="text1"/>
        </w:rPr>
      </w:pPr>
      <w:r>
        <w:rPr>
          <w:rFonts w:hint="eastAsia" w:ascii="宋体" w:hAnsi="宋体" w:cs="宋体"/>
          <w:color w:val="000000" w:themeColor="text1"/>
          <w:sz w:val="36"/>
          <w:szCs w:val="36"/>
        </w:rPr>
        <w:fldChar w:fldCharType="end"/>
      </w:r>
    </w:p>
    <w:p>
      <w:pPr>
        <w:rPr>
          <w:rFonts w:ascii="宋体" w:hAnsi="宋体" w:cs="宋体"/>
          <w:color w:val="000000" w:themeColor="text1"/>
        </w:rPr>
      </w:pPr>
    </w:p>
    <w:p>
      <w:pPr>
        <w:rPr>
          <w:rFonts w:ascii="宋体" w:hAnsi="宋体" w:cs="宋体"/>
          <w:color w:val="000000" w:themeColor="text1"/>
        </w:rPr>
      </w:pPr>
    </w:p>
    <w:p>
      <w:pPr>
        <w:widowControl/>
        <w:jc w:val="left"/>
        <w:rPr>
          <w:rFonts w:ascii="宋体" w:hAnsi="宋体" w:cs="宋体"/>
          <w:b/>
          <w:color w:val="000000" w:themeColor="text1"/>
          <w:sz w:val="44"/>
          <w:szCs w:val="44"/>
        </w:rPr>
      </w:pPr>
    </w:p>
    <w:p>
      <w:pPr>
        <w:pStyle w:val="4"/>
        <w:rPr>
          <w:rFonts w:ascii="宋体" w:hAnsi="宋体" w:eastAsia="宋体" w:cs="宋体"/>
          <w:b/>
          <w:color w:val="000000" w:themeColor="text1"/>
          <w:sz w:val="44"/>
          <w:szCs w:val="44"/>
        </w:rPr>
        <w:sectPr>
          <w:footerReference r:id="rId6" w:type="default"/>
          <w:pgSz w:w="11906" w:h="16838"/>
          <w:pgMar w:top="1418" w:right="1588" w:bottom="1418" w:left="1365" w:header="851" w:footer="907" w:gutter="0"/>
          <w:pgNumType w:fmt="numberInDash" w:start="1"/>
          <w:cols w:space="720" w:num="1"/>
          <w:docGrid w:type="lines" w:linePitch="290" w:charSpace="0"/>
        </w:sectPr>
      </w:pPr>
    </w:p>
    <w:p>
      <w:pPr>
        <w:pStyle w:val="4"/>
        <w:rPr>
          <w:rFonts w:ascii="宋体" w:hAnsi="宋体" w:eastAsia="宋体" w:cs="宋体"/>
          <w:b/>
          <w:bCs/>
          <w:color w:val="000000" w:themeColor="text1"/>
          <w:sz w:val="44"/>
          <w:szCs w:val="44"/>
        </w:rPr>
      </w:pPr>
      <w:bookmarkStart w:id="8" w:name="_Toc18481234"/>
      <w:r>
        <w:rPr>
          <w:rFonts w:hint="eastAsia" w:ascii="宋体" w:hAnsi="宋体" w:eastAsia="宋体" w:cs="宋体"/>
          <w:b/>
          <w:color w:val="000000" w:themeColor="text1"/>
          <w:sz w:val="44"/>
          <w:szCs w:val="44"/>
        </w:rPr>
        <w:t xml:space="preserve">第一章  </w:t>
      </w:r>
      <w:bookmarkEnd w:id="0"/>
      <w:r>
        <w:rPr>
          <w:rFonts w:hint="eastAsia" w:ascii="宋体" w:hAnsi="宋体" w:eastAsia="宋体" w:cs="宋体"/>
          <w:b/>
          <w:color w:val="000000" w:themeColor="text1"/>
          <w:sz w:val="44"/>
          <w:szCs w:val="44"/>
        </w:rPr>
        <w:t>招标公告</w:t>
      </w:r>
      <w:bookmarkEnd w:id="8"/>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根据盐城工业职业技术学院下达的采购计划，江苏双清工程造价咨询有限公司受盐城工业职业技术学院的委托，决定就其所需的盐城工业职业技术学院</w:t>
      </w:r>
      <w:r>
        <w:rPr>
          <w:rFonts w:hint="eastAsia" w:ascii="宋体" w:hAnsi="宋体" w:cs="宋体"/>
          <w:bCs/>
          <w:color w:val="000000" w:themeColor="text1"/>
          <w:sz w:val="24"/>
        </w:rPr>
        <w:t>网络安全实验室建设项目</w:t>
      </w:r>
      <w:r>
        <w:rPr>
          <w:rFonts w:hint="eastAsia" w:ascii="宋体" w:hAnsi="宋体" w:cs="宋体"/>
          <w:color w:val="000000" w:themeColor="text1"/>
          <w:sz w:val="24"/>
        </w:rPr>
        <w:t>进行公开招标采购，现欢迎符合相关条件的合格供应商投标。</w:t>
      </w:r>
    </w:p>
    <w:p>
      <w:pPr>
        <w:tabs>
          <w:tab w:val="left" w:pos="900"/>
        </w:tabs>
        <w:spacing w:line="420" w:lineRule="exact"/>
        <w:ind w:firstLine="482" w:firstLineChars="200"/>
        <w:rPr>
          <w:rFonts w:ascii="宋体" w:hAnsi="宋体" w:cs="宋体"/>
          <w:color w:val="000000" w:themeColor="text1"/>
          <w:sz w:val="24"/>
        </w:rPr>
      </w:pPr>
      <w:r>
        <w:rPr>
          <w:rFonts w:hint="eastAsia" w:ascii="宋体" w:hAnsi="宋体" w:cs="宋体"/>
          <w:b/>
          <w:bCs/>
          <w:color w:val="000000" w:themeColor="text1"/>
          <w:sz w:val="24"/>
        </w:rPr>
        <w:t>一、招标项目名称及编号</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项目名称：盐城工业职业技术学院网络安全实验室建设项目</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标书编号：2019-026S-2</w:t>
      </w:r>
    </w:p>
    <w:p>
      <w:pPr>
        <w:tabs>
          <w:tab w:val="left" w:pos="900"/>
        </w:tabs>
        <w:spacing w:line="420" w:lineRule="exact"/>
        <w:ind w:firstLine="482" w:firstLineChars="200"/>
        <w:rPr>
          <w:rFonts w:ascii="宋体" w:hAnsi="宋体" w:cs="宋体"/>
          <w:color w:val="000000" w:themeColor="text1"/>
          <w:sz w:val="24"/>
        </w:rPr>
      </w:pPr>
      <w:r>
        <w:rPr>
          <w:rFonts w:hint="eastAsia" w:ascii="宋体" w:hAnsi="宋体" w:cs="宋体"/>
          <w:b/>
          <w:bCs/>
          <w:color w:val="000000" w:themeColor="text1"/>
          <w:sz w:val="24"/>
        </w:rPr>
        <w:t>二、招标项目（简要说明）及预算金额</w:t>
      </w:r>
    </w:p>
    <w:p>
      <w:pPr>
        <w:tabs>
          <w:tab w:val="left" w:pos="900"/>
        </w:tabs>
        <w:spacing w:line="420" w:lineRule="exact"/>
        <w:ind w:firstLine="482" w:firstLineChars="200"/>
        <w:rPr>
          <w:rFonts w:ascii="宋体" w:hAnsi="宋体" w:cs="宋体"/>
          <w:color w:val="000000" w:themeColor="text1"/>
          <w:sz w:val="24"/>
        </w:rPr>
      </w:pPr>
      <w:r>
        <w:rPr>
          <w:rFonts w:hint="eastAsia" w:ascii="宋体" w:hAnsi="宋体" w:cs="宋体"/>
          <w:b/>
          <w:color w:val="000000" w:themeColor="text1"/>
          <w:sz w:val="24"/>
        </w:rPr>
        <w:t>分包一</w:t>
      </w:r>
      <w:r>
        <w:rPr>
          <w:rFonts w:hint="eastAsia" w:ascii="宋体" w:hAnsi="宋体" w:cs="宋体"/>
          <w:color w:val="000000" w:themeColor="text1"/>
          <w:sz w:val="24"/>
        </w:rPr>
        <w:t>（硬件部分）：盐城工业职业技术学院网络安全实验室建设项目所需的硬件设备、采购</w:t>
      </w:r>
      <w:r>
        <w:rPr>
          <w:rFonts w:hint="eastAsia" w:ascii="宋体" w:hAnsi="宋体" w:cs="宋体"/>
          <w:bCs/>
          <w:color w:val="000000" w:themeColor="text1"/>
          <w:sz w:val="24"/>
        </w:rPr>
        <w:t>、安装、调试、培训、验收、维保、售前及售后等伴随服务，</w:t>
      </w:r>
      <w:r>
        <w:rPr>
          <w:rFonts w:hint="eastAsia" w:ascii="宋体" w:hAnsi="宋体" w:cs="宋体"/>
          <w:color w:val="000000" w:themeColor="text1"/>
          <w:sz w:val="24"/>
        </w:rPr>
        <w:t>详情见招标文件项目需求部分，招标人保留适当变更的权利。</w:t>
      </w:r>
    </w:p>
    <w:p>
      <w:pPr>
        <w:tabs>
          <w:tab w:val="left" w:pos="900"/>
        </w:tabs>
        <w:spacing w:line="420" w:lineRule="exact"/>
        <w:ind w:firstLine="482" w:firstLineChars="200"/>
        <w:rPr>
          <w:rFonts w:ascii="宋体" w:hAnsi="宋体" w:cs="宋体"/>
          <w:color w:val="000000" w:themeColor="text1"/>
          <w:sz w:val="24"/>
        </w:rPr>
      </w:pPr>
      <w:r>
        <w:rPr>
          <w:rFonts w:hint="eastAsia" w:ascii="宋体" w:hAnsi="宋体" w:cs="宋体"/>
          <w:b/>
          <w:color w:val="000000" w:themeColor="text1"/>
          <w:sz w:val="24"/>
        </w:rPr>
        <w:t>分包二</w:t>
      </w:r>
      <w:r>
        <w:rPr>
          <w:rFonts w:hint="eastAsia" w:ascii="宋体" w:hAnsi="宋体" w:cs="宋体"/>
          <w:color w:val="000000" w:themeColor="text1"/>
          <w:sz w:val="24"/>
        </w:rPr>
        <w:t>（软件部分）：盐城工业职业技术学院网络安全实验室建设项目所需的软件研发、采购</w:t>
      </w:r>
      <w:r>
        <w:rPr>
          <w:rFonts w:hint="eastAsia" w:ascii="宋体" w:hAnsi="宋体" w:cs="宋体"/>
          <w:bCs/>
          <w:color w:val="000000" w:themeColor="text1"/>
          <w:sz w:val="24"/>
        </w:rPr>
        <w:t>、安装、调试、培训、验收、维保、售前及售后等伴随服务，</w:t>
      </w:r>
      <w:r>
        <w:rPr>
          <w:rFonts w:hint="eastAsia" w:ascii="宋体" w:hAnsi="宋体" w:cs="宋体"/>
          <w:color w:val="000000" w:themeColor="text1"/>
          <w:sz w:val="24"/>
        </w:rPr>
        <w:t>详情见招标文件项目需求部分，招标人保留适当变更的权利。</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预算价：分包一290万元；分包二690万元；投标人的投标报价不得超过预算价。</w:t>
      </w:r>
    </w:p>
    <w:p>
      <w:pPr>
        <w:pStyle w:val="2"/>
        <w:ind w:firstLine="482"/>
        <w:rPr>
          <w:b/>
          <w:color w:val="000000" w:themeColor="text1"/>
        </w:rPr>
      </w:pPr>
      <w:r>
        <w:rPr>
          <w:rFonts w:hint="eastAsia" w:cs="宋体"/>
          <w:b/>
          <w:color w:val="000000" w:themeColor="text1"/>
          <w:sz w:val="24"/>
        </w:rPr>
        <w:t>同一投标人可同时参与2个分包的投标，并可兼投兼中。</w:t>
      </w:r>
    </w:p>
    <w:p>
      <w:pPr>
        <w:tabs>
          <w:tab w:val="left" w:pos="900"/>
        </w:tabs>
        <w:spacing w:line="42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三、供应商资格要求</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（一）符合政府采购法第二十二条第一款规定的条件，并提供下列材料：</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1、法人或者其他组织的营业执照等证明文件，自然人的身份证明；</w:t>
      </w:r>
      <w:r>
        <w:rPr>
          <w:rFonts w:hint="eastAsia" w:ascii="宋体" w:hAnsi="宋体" w:cs="宋体"/>
          <w:color w:val="000000" w:themeColor="text1"/>
          <w:sz w:val="24"/>
        </w:rPr>
        <w:br w:type="textWrapping"/>
      </w:r>
      <w:r>
        <w:rPr>
          <w:rFonts w:hint="eastAsia" w:ascii="宋体" w:hAnsi="宋体" w:cs="宋体"/>
          <w:color w:val="000000" w:themeColor="text1"/>
          <w:sz w:val="24"/>
        </w:rPr>
        <w:t>　　2、上一年度的财务报表（成立不满一年不需提供）；</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3、依法缴纳税收和社会保障资金的相关材料；</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4、具备履行合同所必需的设备和专业技术能力的书面声明；</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5、参加政府采购活动前3年内在经营活动中没有重大违法记录的书面声明；</w:t>
      </w:r>
    </w:p>
    <w:p>
      <w:pPr>
        <w:spacing w:line="420" w:lineRule="exact"/>
        <w:ind w:firstLine="480" w:firstLineChars="200"/>
        <w:rPr>
          <w:rFonts w:ascii="宋体" w:hAnsi="宋体" w:cs="宋体"/>
          <w:bCs/>
          <w:color w:val="000000" w:themeColor="text1"/>
          <w:sz w:val="24"/>
          <w:u w:val="single"/>
        </w:rPr>
      </w:pPr>
      <w:r>
        <w:rPr>
          <w:rFonts w:hint="eastAsia" w:ascii="宋体" w:hAnsi="宋体" w:cs="宋体"/>
          <w:bCs/>
          <w:color w:val="000000" w:themeColor="text1"/>
          <w:sz w:val="24"/>
        </w:rPr>
        <w:t>（二）其他资格条件：</w:t>
      </w:r>
    </w:p>
    <w:p>
      <w:pPr>
        <w:snapToGrid w:val="0"/>
        <w:spacing w:line="42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1、未</w:t>
      </w:r>
      <w:r>
        <w:rPr>
          <w:rFonts w:hint="eastAsia" w:ascii="宋体" w:hAnsi="宋体" w:cs="宋体"/>
          <w:bCs/>
          <w:color w:val="000000" w:themeColor="text1"/>
          <w:sz w:val="24"/>
        </w:rPr>
        <w:t>被“信用中国”网站（www.creditchina.gov.cn）列入失信被执行人、重大税收违法案件当事人名单、政府采购严重失信行为记录名单。</w:t>
      </w:r>
    </w:p>
    <w:p>
      <w:pPr>
        <w:spacing w:line="42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（三）本项目</w:t>
      </w:r>
      <w:r>
        <w:rPr>
          <w:rFonts w:hint="eastAsia" w:ascii="宋体" w:hAnsi="宋体" w:cs="宋体"/>
          <w:bCs/>
          <w:color w:val="000000" w:themeColor="text1"/>
          <w:sz w:val="24"/>
          <w:u w:val="single"/>
        </w:rPr>
        <w:t>不接受</w:t>
      </w:r>
      <w:r>
        <w:rPr>
          <w:rFonts w:hint="eastAsia" w:ascii="宋体" w:hAnsi="宋体" w:cs="宋体"/>
          <w:bCs/>
          <w:color w:val="000000" w:themeColor="text1"/>
          <w:sz w:val="24"/>
        </w:rPr>
        <w:t>联合体投标。</w:t>
      </w:r>
    </w:p>
    <w:p>
      <w:pPr>
        <w:spacing w:line="42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rPr>
        <w:t>四、</w:t>
      </w:r>
      <w:r>
        <w:rPr>
          <w:rFonts w:hint="eastAsia" w:ascii="宋体" w:hAnsi="宋体" w:cs="宋体"/>
          <w:b/>
          <w:bCs/>
          <w:color w:val="000000" w:themeColor="text1"/>
          <w:sz w:val="24"/>
          <w:szCs w:val="24"/>
        </w:rPr>
        <w:t>招标文件提供信息</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招标公告发布媒体：“盐城市政府采购网”和“盐城工业职业技术学院招标采购网” </w:t>
      </w:r>
    </w:p>
    <w:p>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本招标公告发布后凡具备上述资格要求，并自愿参加本项目投标的申请人于2019年11月13日至2019年11月20日18：00时前（工作日上午8：30时至12：00时，下午14：30时至18：00时），携带《供应商参与投标确认函》原件（格式后附）、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500元/分包。</w:t>
      </w:r>
    </w:p>
    <w:p>
      <w:pPr>
        <w:snapToGrid w:val="0"/>
        <w:spacing w:line="420" w:lineRule="exact"/>
        <w:ind w:firstLine="480" w:firstLineChars="200"/>
        <w:rPr>
          <w:rFonts w:ascii="宋体" w:hAnsi="宋体" w:cs="宋体"/>
          <w:color w:val="000000" w:themeColor="text1"/>
        </w:rPr>
      </w:pPr>
      <w:r>
        <w:rPr>
          <w:rFonts w:hint="eastAsia" w:ascii="宋体" w:hAnsi="宋体" w:cs="宋体"/>
          <w:color w:val="000000" w:themeColor="text1"/>
          <w:sz w:val="24"/>
        </w:rPr>
        <w:t>有关本次招标的事项若存在变动或修改，敬请及时关注“盐城市政府采购网”和“盐城工业职业技术学院招标采购网”发布的信息更正公告。</w:t>
      </w:r>
    </w:p>
    <w:p>
      <w:pPr>
        <w:tabs>
          <w:tab w:val="left" w:pos="900"/>
        </w:tabs>
        <w:spacing w:line="42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五、现场踏勘</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时间：2019年11月21日前</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地点：盐城工业职业技术学院</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联系人：王老师</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联系电话：15851766858</w:t>
      </w:r>
    </w:p>
    <w:p>
      <w:pPr>
        <w:tabs>
          <w:tab w:val="left" w:pos="900"/>
        </w:tabs>
        <w:spacing w:line="400" w:lineRule="exact"/>
        <w:ind w:firstLine="482" w:firstLineChars="200"/>
        <w:jc w:val="left"/>
        <w:rPr>
          <w:rFonts w:ascii="宋体" w:hAnsi="宋体" w:cs="宋体"/>
          <w:b/>
          <w:bCs/>
          <w:color w:val="000000" w:themeColor="text1"/>
          <w:sz w:val="24"/>
        </w:rPr>
      </w:pPr>
      <w:r>
        <w:rPr>
          <w:rFonts w:hint="eastAsia" w:ascii="宋体" w:hAnsi="宋体" w:cs="宋体"/>
          <w:b/>
          <w:bCs/>
          <w:color w:val="000000" w:themeColor="text1"/>
          <w:sz w:val="24"/>
        </w:rPr>
        <w:t>六、投标文件接收信息</w:t>
      </w:r>
    </w:p>
    <w:p>
      <w:pPr>
        <w:tabs>
          <w:tab w:val="left" w:pos="90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投标文件接收时间：2019年12月4日</w:t>
      </w:r>
      <w:r>
        <w:rPr>
          <w:rFonts w:hint="eastAsia" w:ascii="宋体" w:hAnsi="宋体" w:cs="宋体"/>
          <w:color w:val="000000" w:themeColor="text1"/>
          <w:sz w:val="24"/>
          <w:lang w:val="en-US" w:eastAsia="zh-CN"/>
        </w:rPr>
        <w:t>8</w:t>
      </w:r>
      <w:r>
        <w:rPr>
          <w:rFonts w:hint="eastAsia" w:ascii="宋体" w:hAnsi="宋体" w:cs="宋体"/>
          <w:color w:val="000000" w:themeColor="text1"/>
          <w:sz w:val="24"/>
        </w:rPr>
        <w:t>：30时</w:t>
      </w:r>
    </w:p>
    <w:p>
      <w:pPr>
        <w:tabs>
          <w:tab w:val="left" w:pos="90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投标文件接收截止时间：2019年12月4日</w:t>
      </w:r>
      <w:r>
        <w:rPr>
          <w:rFonts w:hint="eastAsia" w:ascii="宋体" w:hAnsi="宋体" w:cs="宋体"/>
          <w:color w:val="000000" w:themeColor="text1"/>
          <w:sz w:val="24"/>
          <w:lang w:val="en-US" w:eastAsia="zh-CN"/>
        </w:rPr>
        <w:t>9</w:t>
      </w:r>
      <w:r>
        <w:rPr>
          <w:rFonts w:hint="eastAsia" w:ascii="宋体" w:hAnsi="宋体" w:cs="宋体"/>
          <w:color w:val="000000" w:themeColor="text1"/>
          <w:sz w:val="24"/>
        </w:rPr>
        <w:t>：00时</w:t>
      </w:r>
    </w:p>
    <w:p>
      <w:pPr>
        <w:tabs>
          <w:tab w:val="left" w:pos="90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投标文件接收地点：盐城工业职业技术学院（盐城市解放南路285号）后勤服务中心四楼402开标室</w:t>
      </w:r>
    </w:p>
    <w:p>
      <w:pPr>
        <w:tabs>
          <w:tab w:val="left" w:pos="900"/>
        </w:tabs>
        <w:spacing w:line="400" w:lineRule="exact"/>
        <w:ind w:firstLine="482" w:firstLineChars="200"/>
        <w:jc w:val="left"/>
        <w:rPr>
          <w:rFonts w:ascii="宋体" w:hAnsi="宋体" w:cs="宋体"/>
          <w:b/>
          <w:bCs/>
          <w:color w:val="000000" w:themeColor="text1"/>
          <w:sz w:val="24"/>
        </w:rPr>
      </w:pPr>
      <w:r>
        <w:rPr>
          <w:rFonts w:hint="eastAsia" w:ascii="宋体" w:hAnsi="宋体" w:cs="宋体"/>
          <w:b/>
          <w:bCs/>
          <w:color w:val="000000" w:themeColor="text1"/>
          <w:sz w:val="24"/>
        </w:rPr>
        <w:t>七、开标有关信息</w:t>
      </w:r>
    </w:p>
    <w:p>
      <w:pPr>
        <w:tabs>
          <w:tab w:val="left" w:pos="90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开标时间：2019年12月4日</w:t>
      </w:r>
      <w:r>
        <w:rPr>
          <w:rFonts w:hint="eastAsia" w:ascii="宋体" w:hAnsi="宋体" w:cs="宋体"/>
          <w:color w:val="000000" w:themeColor="text1"/>
          <w:sz w:val="24"/>
          <w:lang w:val="en-US" w:eastAsia="zh-CN"/>
        </w:rPr>
        <w:t>9</w:t>
      </w:r>
      <w:r>
        <w:rPr>
          <w:rFonts w:hint="eastAsia" w:ascii="宋体" w:hAnsi="宋体" w:cs="宋体"/>
          <w:color w:val="000000" w:themeColor="text1"/>
          <w:sz w:val="24"/>
        </w:rPr>
        <w:t>：00时</w:t>
      </w:r>
      <w:bookmarkStart w:id="211" w:name="_GoBack"/>
      <w:bookmarkEnd w:id="211"/>
    </w:p>
    <w:p>
      <w:pPr>
        <w:tabs>
          <w:tab w:val="left" w:pos="90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开标地点：盐城工业职业技术学院（盐城市解放南路285号）后勤服务中心四楼402开标室</w:t>
      </w:r>
    </w:p>
    <w:p>
      <w:pPr>
        <w:tabs>
          <w:tab w:val="left" w:pos="900"/>
        </w:tabs>
        <w:spacing w:line="42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八、本次招标联系事项</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（一）采购人项目联系人：王老师，联系电话：15851766858 ；</w:t>
      </w:r>
    </w:p>
    <w:p>
      <w:pPr>
        <w:tabs>
          <w:tab w:val="left" w:pos="900"/>
        </w:tabs>
        <w:spacing w:line="40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采购人招标联系人：赵萌，联系电话：0515-88588707；</w:t>
      </w:r>
    </w:p>
    <w:p>
      <w:pPr>
        <w:tabs>
          <w:tab w:val="left" w:pos="900"/>
        </w:tabs>
        <w:spacing w:line="40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地址：盐城工业职业技术学院后勤服务中心四楼405室；</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（二）采购代理机构联系人：尤鸿望， 联系电话：0515-88200316；</w:t>
      </w:r>
    </w:p>
    <w:p>
      <w:pPr>
        <w:tabs>
          <w:tab w:val="left" w:pos="900"/>
        </w:tabs>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采购代理机构联系地址：盐城市紫薇广场C区7楼。 </w:t>
      </w:r>
    </w:p>
    <w:p>
      <w:pPr>
        <w:spacing w:line="42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九、本次招标投标保证金</w:t>
      </w:r>
    </w:p>
    <w:p>
      <w:pPr>
        <w:spacing w:line="420" w:lineRule="exact"/>
        <w:ind w:firstLine="480" w:firstLineChars="200"/>
        <w:outlineLvl w:val="1"/>
        <w:rPr>
          <w:rFonts w:ascii="宋体" w:hAnsi="宋体" w:cs="宋体"/>
          <w:color w:val="000000" w:themeColor="text1"/>
          <w:sz w:val="24"/>
        </w:rPr>
      </w:pPr>
      <w:r>
        <w:rPr>
          <w:rFonts w:hint="eastAsia" w:ascii="宋体" w:hAnsi="宋体" w:cs="宋体"/>
          <w:color w:val="000000" w:themeColor="text1"/>
          <w:sz w:val="24"/>
        </w:rPr>
        <w:t>本次投标收取保证金。本次投标保证金按所投分包分别交纳，金额为</w:t>
      </w:r>
      <w:r>
        <w:rPr>
          <w:rFonts w:hint="eastAsia" w:ascii="宋体" w:hAnsi="宋体" w:cs="宋体"/>
          <w:b/>
          <w:bCs/>
          <w:color w:val="000000" w:themeColor="text1"/>
          <w:sz w:val="24"/>
          <w:u w:val="single"/>
        </w:rPr>
        <w:t>分包一：伍万元整；分包二：壹拾叁万元整</w:t>
      </w:r>
      <w:r>
        <w:rPr>
          <w:rFonts w:hint="eastAsia" w:ascii="宋体" w:hAnsi="宋体" w:cs="宋体"/>
          <w:color w:val="000000" w:themeColor="text1"/>
          <w:sz w:val="24"/>
        </w:rPr>
        <w:t>，投标保证金必须在</w:t>
      </w:r>
      <w:r>
        <w:rPr>
          <w:rFonts w:hint="eastAsia" w:ascii="宋体" w:hAnsi="宋体" w:cs="宋体"/>
          <w:bCs/>
          <w:color w:val="000000" w:themeColor="text1"/>
          <w:sz w:val="24"/>
        </w:rPr>
        <w:t>投标文件接收截止时间</w:t>
      </w:r>
      <w:r>
        <w:rPr>
          <w:rFonts w:hint="eastAsia" w:ascii="宋体" w:hAnsi="宋体" w:cs="宋体"/>
          <w:color w:val="000000" w:themeColor="text1"/>
          <w:sz w:val="24"/>
        </w:rPr>
        <w:t>前与投标文件一起送达投标文件接收地点（不要密封在响应文件中）。</w:t>
      </w:r>
    </w:p>
    <w:p>
      <w:pPr>
        <w:spacing w:line="420" w:lineRule="exact"/>
        <w:ind w:firstLine="482" w:firstLineChars="200"/>
        <w:outlineLvl w:val="1"/>
        <w:rPr>
          <w:rFonts w:ascii="宋体" w:hAnsi="宋体" w:cs="宋体"/>
          <w:color w:val="000000" w:themeColor="text1"/>
          <w:sz w:val="24"/>
        </w:rPr>
      </w:pPr>
      <w:r>
        <w:rPr>
          <w:rFonts w:hint="eastAsia" w:ascii="宋体" w:hAnsi="宋体" w:cs="宋体"/>
          <w:b/>
          <w:color w:val="000000" w:themeColor="text1"/>
          <w:kern w:val="0"/>
          <w:sz w:val="24"/>
        </w:rPr>
        <w:t>投标保证金必须采用有效银行本票或银行汇票，不接受电汇、转账、现金、现金交款单、支票或其他形式的保证金。</w:t>
      </w:r>
      <w:r>
        <w:rPr>
          <w:rFonts w:hint="eastAsia" w:ascii="宋体" w:hAnsi="宋体" w:cs="宋体"/>
          <w:color w:val="000000" w:themeColor="text1"/>
          <w:kern w:val="0"/>
          <w:sz w:val="24"/>
        </w:rPr>
        <w:t>各投标人须在</w:t>
      </w:r>
      <w:r>
        <w:rPr>
          <w:rFonts w:hint="eastAsia" w:ascii="宋体" w:hAnsi="宋体" w:cs="宋体"/>
          <w:bCs/>
          <w:color w:val="000000" w:themeColor="text1"/>
          <w:sz w:val="24"/>
        </w:rPr>
        <w:t>投标文件接收截止时间</w:t>
      </w:r>
      <w:r>
        <w:rPr>
          <w:rFonts w:hint="eastAsia" w:ascii="宋体" w:hAnsi="宋体" w:cs="宋体"/>
          <w:color w:val="000000" w:themeColor="text1"/>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color w:val="000000" w:themeColor="text1"/>
          <w:sz w:val="24"/>
        </w:rPr>
        <w:t>江苏双清工程造价咨询有限公司，开户行：中国银行股份有限公司盐城分行，账号：513158208001</w:t>
      </w:r>
      <w:r>
        <w:rPr>
          <w:rFonts w:hint="eastAsia" w:ascii="宋体" w:hAnsi="宋体" w:cs="宋体"/>
          <w:color w:val="000000" w:themeColor="text1"/>
          <w:kern w:val="0"/>
          <w:sz w:val="24"/>
        </w:rPr>
        <w:t>。</w:t>
      </w:r>
      <w:r>
        <w:rPr>
          <w:rFonts w:hint="eastAsia" w:ascii="宋体" w:hAnsi="宋体" w:cs="宋体"/>
          <w:bCs/>
          <w:color w:val="000000" w:themeColor="text1"/>
          <w:sz w:val="24"/>
        </w:rPr>
        <w:t>投标文件接收截止时间前</w:t>
      </w:r>
      <w:r>
        <w:rPr>
          <w:rFonts w:hint="eastAsia" w:ascii="宋体" w:hAnsi="宋体" w:cs="宋体"/>
          <w:color w:val="000000" w:themeColor="text1"/>
          <w:kern w:val="0"/>
          <w:sz w:val="24"/>
        </w:rPr>
        <w:t>，各投标人将有效银行本票（或银行汇票）原件</w:t>
      </w:r>
      <w:r>
        <w:rPr>
          <w:rFonts w:hint="eastAsia" w:ascii="宋体" w:hAnsi="宋体" w:cs="宋体"/>
          <w:color w:val="000000" w:themeColor="text1"/>
          <w:sz w:val="24"/>
        </w:rPr>
        <w:t>和人民银行基本账户开户许可证复印件（或“基本存款账户信息”证明材料）</w:t>
      </w:r>
      <w:r>
        <w:rPr>
          <w:rFonts w:hint="eastAsia" w:ascii="宋体" w:hAnsi="宋体" w:cs="宋体"/>
          <w:color w:val="000000" w:themeColor="text1"/>
          <w:kern w:val="0"/>
          <w:sz w:val="24"/>
        </w:rPr>
        <w:t>带至开标现场交工作人员核验，未按上述要求交纳投标保证金的，</w:t>
      </w:r>
      <w:r>
        <w:rPr>
          <w:rFonts w:hint="eastAsia" w:ascii="宋体" w:hAnsi="宋体" w:cs="宋体"/>
          <w:color w:val="000000" w:themeColor="text1"/>
          <w:sz w:val="24"/>
        </w:rPr>
        <w:t>将被视为非响应性投标而予以拒绝。</w:t>
      </w:r>
    </w:p>
    <w:p>
      <w:pPr>
        <w:spacing w:line="420" w:lineRule="exact"/>
        <w:ind w:firstLine="480" w:firstLineChars="200"/>
        <w:outlineLvl w:val="1"/>
        <w:rPr>
          <w:rFonts w:ascii="宋体" w:hAnsi="宋体" w:cs="宋体"/>
          <w:color w:val="000000" w:themeColor="text1"/>
          <w:kern w:val="0"/>
          <w:sz w:val="24"/>
        </w:rPr>
      </w:pPr>
      <w:r>
        <w:rPr>
          <w:rFonts w:hint="eastAsia" w:ascii="宋体" w:hAnsi="宋体" w:cs="宋体"/>
          <w:color w:val="000000" w:themeColor="text1"/>
          <w:sz w:val="24"/>
        </w:rPr>
        <w:t>投标保证金退还方式：未中标人的投标保证金现场退还，中标人的投标保证金在签订合同并交纳招标代理服务费后，凭合同原件及交费凭证至招标代理机构财务部退还。</w:t>
      </w:r>
    </w:p>
    <w:p>
      <w:pPr>
        <w:spacing w:line="42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szCs w:val="24"/>
        </w:rPr>
        <w:t xml:space="preserve">                                        盐城工业职业技术学院</w:t>
      </w:r>
    </w:p>
    <w:p>
      <w:pPr>
        <w:spacing w:line="42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szCs w:val="24"/>
        </w:rPr>
        <w:t>江苏双清工程造价咨询有限公司</w:t>
      </w:r>
    </w:p>
    <w:p>
      <w:pPr>
        <w:spacing w:line="42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2019年11月13日</w:t>
      </w:r>
    </w:p>
    <w:p>
      <w:pPr>
        <w:jc w:val="center"/>
        <w:rPr>
          <w:rFonts w:ascii="宋体" w:hAnsi="宋体" w:cs="宋体"/>
          <w:color w:val="000000" w:themeColor="text1"/>
        </w:rPr>
      </w:pPr>
      <w:bookmarkStart w:id="9" w:name="_Toc120614211"/>
      <w:r>
        <w:rPr>
          <w:rFonts w:hint="eastAsia" w:ascii="宋体" w:hAnsi="宋体" w:cs="宋体"/>
          <w:color w:val="000000" w:themeColor="text1"/>
        </w:rPr>
        <w:br w:type="page"/>
      </w:r>
    </w:p>
    <w:p>
      <w:pPr>
        <w:jc w:val="center"/>
        <w:rPr>
          <w:rFonts w:ascii="宋体" w:hAnsi="宋体" w:cs="宋体"/>
          <w:b/>
          <w:color w:val="000000" w:themeColor="text1"/>
          <w:sz w:val="44"/>
          <w:szCs w:val="44"/>
        </w:rPr>
      </w:pPr>
      <w:bookmarkStart w:id="10" w:name="_Toc18481235"/>
      <w:r>
        <w:rPr>
          <w:rFonts w:hint="eastAsia" w:ascii="宋体" w:hAnsi="宋体" w:cs="宋体"/>
          <w:b/>
          <w:color w:val="000000" w:themeColor="text1"/>
          <w:sz w:val="44"/>
          <w:szCs w:val="44"/>
        </w:rPr>
        <w:t>投标人参与投标确认函</w:t>
      </w:r>
    </w:p>
    <w:p>
      <w:pPr>
        <w:jc w:val="left"/>
        <w:rPr>
          <w:rFonts w:ascii="宋体" w:hAnsi="宋体" w:cs="宋体"/>
          <w:color w:val="000000" w:themeColor="text1"/>
          <w:sz w:val="32"/>
          <w:szCs w:val="32"/>
        </w:rPr>
      </w:pPr>
    </w:p>
    <w:p>
      <w:pPr>
        <w:jc w:val="left"/>
        <w:rPr>
          <w:rFonts w:ascii="宋体" w:hAnsi="宋体" w:cs="宋体"/>
          <w:color w:val="000000" w:themeColor="text1"/>
          <w:sz w:val="32"/>
          <w:szCs w:val="32"/>
        </w:rPr>
      </w:pPr>
      <w:r>
        <w:rPr>
          <w:rFonts w:hint="eastAsia" w:ascii="宋体" w:hAnsi="宋体" w:cs="宋体"/>
          <w:color w:val="000000" w:themeColor="text1"/>
          <w:sz w:val="32"/>
          <w:szCs w:val="32"/>
        </w:rPr>
        <w:t>盐城工业职业技术学院</w:t>
      </w:r>
    </w:p>
    <w:p>
      <w:pPr>
        <w:jc w:val="left"/>
        <w:rPr>
          <w:rFonts w:ascii="宋体" w:hAnsi="宋体" w:cs="宋体"/>
          <w:color w:val="000000" w:themeColor="text1"/>
          <w:sz w:val="32"/>
          <w:szCs w:val="32"/>
        </w:rPr>
      </w:pPr>
      <w:r>
        <w:rPr>
          <w:rFonts w:hint="eastAsia" w:ascii="宋体" w:hAnsi="宋体" w:cs="宋体"/>
          <w:color w:val="000000" w:themeColor="text1"/>
          <w:sz w:val="32"/>
          <w:szCs w:val="32"/>
        </w:rPr>
        <w:t>江苏双清工程造价咨询有限公司：</w:t>
      </w:r>
    </w:p>
    <w:p>
      <w:pPr>
        <w:rPr>
          <w:rFonts w:ascii="宋体" w:hAnsi="宋体" w:cs="宋体"/>
          <w:color w:val="000000" w:themeColor="text1"/>
          <w:sz w:val="32"/>
          <w:szCs w:val="32"/>
        </w:rPr>
      </w:pPr>
      <w:r>
        <w:rPr>
          <w:rFonts w:hint="eastAsia" w:ascii="宋体" w:hAnsi="宋体" w:cs="宋体"/>
          <w:color w:val="000000" w:themeColor="text1"/>
          <w:sz w:val="32"/>
          <w:szCs w:val="32"/>
        </w:rPr>
        <w:t>　　</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根据网站上查询到的招标公告，本单位将参与</w:t>
      </w:r>
      <w:r>
        <w:rPr>
          <w:rFonts w:hint="eastAsia" w:ascii="宋体" w:hAnsi="宋体" w:cs="宋体"/>
          <w:color w:val="000000" w:themeColor="text1"/>
          <w:sz w:val="32"/>
          <w:szCs w:val="32"/>
          <w:u w:val="single"/>
        </w:rPr>
        <w:t>2019-026S-2</w:t>
      </w:r>
      <w:r>
        <w:rPr>
          <w:rFonts w:hint="eastAsia" w:ascii="宋体" w:hAnsi="宋体" w:cs="宋体"/>
          <w:color w:val="000000" w:themeColor="text1"/>
          <w:sz w:val="32"/>
          <w:szCs w:val="32"/>
        </w:rPr>
        <w:t>编号</w:t>
      </w:r>
      <w:r>
        <w:rPr>
          <w:rFonts w:hint="eastAsia" w:ascii="宋体" w:hAnsi="宋体" w:cs="宋体"/>
          <w:color w:val="000000" w:themeColor="text1"/>
          <w:sz w:val="32"/>
          <w:szCs w:val="32"/>
          <w:u w:val="single"/>
        </w:rPr>
        <w:t>盐城工业职业技术学院网络安全实验室建设项目</w:t>
      </w:r>
      <w:r>
        <w:rPr>
          <w:rFonts w:hint="eastAsia" w:ascii="宋体" w:hAnsi="宋体" w:cs="宋体"/>
          <w:color w:val="000000" w:themeColor="text1"/>
          <w:sz w:val="32"/>
          <w:szCs w:val="32"/>
        </w:rPr>
        <w:t>的投标，特发函确认并到招标代理机构购买招标文件。</w:t>
      </w:r>
    </w:p>
    <w:p>
      <w:pPr>
        <w:rPr>
          <w:rFonts w:ascii="宋体" w:hAnsi="宋体" w:cs="宋体"/>
          <w:color w:val="000000" w:themeColor="text1"/>
          <w:sz w:val="32"/>
          <w:szCs w:val="32"/>
          <w:u w:val="single"/>
        </w:rPr>
      </w:pPr>
      <w:r>
        <w:rPr>
          <w:rFonts w:hint="eastAsia" w:ascii="宋体" w:hAnsi="宋体" w:cs="宋体"/>
          <w:color w:val="000000" w:themeColor="text1"/>
          <w:sz w:val="32"/>
          <w:szCs w:val="32"/>
        </w:rPr>
        <w:t>　　单位名称：</w:t>
      </w:r>
    </w:p>
    <w:p>
      <w:pPr>
        <w:rPr>
          <w:rFonts w:ascii="宋体" w:hAnsi="宋体" w:cs="宋体"/>
          <w:color w:val="000000" w:themeColor="text1"/>
          <w:sz w:val="32"/>
          <w:szCs w:val="32"/>
        </w:rPr>
      </w:pPr>
      <w:r>
        <w:rPr>
          <w:rFonts w:hint="eastAsia" w:ascii="宋体" w:hAnsi="宋体" w:cs="宋体"/>
          <w:color w:val="000000" w:themeColor="text1"/>
          <w:sz w:val="32"/>
          <w:szCs w:val="32"/>
        </w:rPr>
        <w:t>　　项目负责人：</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联系电话：</w:t>
      </w:r>
    </w:p>
    <w:p>
      <w:pPr>
        <w:rPr>
          <w:rFonts w:ascii="宋体" w:hAnsi="宋体" w:cs="宋体"/>
          <w:color w:val="000000" w:themeColor="text1"/>
          <w:sz w:val="32"/>
          <w:szCs w:val="32"/>
        </w:rPr>
      </w:pPr>
      <w:r>
        <w:rPr>
          <w:rFonts w:hint="eastAsia" w:ascii="宋体" w:hAnsi="宋体" w:cs="宋体"/>
          <w:color w:val="000000" w:themeColor="text1"/>
          <w:sz w:val="32"/>
          <w:szCs w:val="32"/>
        </w:rPr>
        <w:t>　　法人授权代表（投标代表）：</w:t>
      </w:r>
      <w:r>
        <w:rPr>
          <w:rFonts w:ascii="宋体" w:hAnsi="宋体" w:cs="宋体"/>
          <w:color w:val="000000" w:themeColor="text1"/>
          <w:sz w:val="32"/>
          <w:szCs w:val="32"/>
        </w:rPr>
        <w:t xml:space="preserve"> </w:t>
      </w:r>
    </w:p>
    <w:p>
      <w:pPr>
        <w:ind w:firstLine="645"/>
        <w:rPr>
          <w:rFonts w:ascii="宋体" w:hAnsi="宋体" w:cs="宋体"/>
          <w:color w:val="000000" w:themeColor="text1"/>
          <w:sz w:val="32"/>
          <w:szCs w:val="32"/>
        </w:rPr>
      </w:pPr>
      <w:r>
        <w:rPr>
          <w:rFonts w:hint="eastAsia" w:ascii="宋体" w:hAnsi="宋体" w:cs="宋体"/>
          <w:color w:val="000000" w:themeColor="text1"/>
          <w:sz w:val="32"/>
          <w:szCs w:val="32"/>
        </w:rPr>
        <w:t>联系电话：</w:t>
      </w:r>
    </w:p>
    <w:p>
      <w:pPr>
        <w:ind w:firstLine="645"/>
        <w:rPr>
          <w:rFonts w:ascii="宋体" w:hAnsi="宋体" w:cs="宋体"/>
          <w:color w:val="000000" w:themeColor="text1"/>
          <w:sz w:val="32"/>
          <w:szCs w:val="32"/>
        </w:rPr>
      </w:pPr>
      <w:r>
        <w:rPr>
          <w:rFonts w:hint="eastAsia" w:ascii="宋体" w:hAnsi="宋体" w:cs="宋体"/>
          <w:color w:val="000000" w:themeColor="text1"/>
          <w:sz w:val="32"/>
          <w:szCs w:val="32"/>
        </w:rPr>
        <w:t>传真：</w:t>
      </w:r>
    </w:p>
    <w:p>
      <w:pPr>
        <w:ind w:firstLine="645"/>
        <w:rPr>
          <w:rFonts w:ascii="宋体" w:hAnsi="宋体" w:cs="宋体"/>
          <w:color w:val="000000" w:themeColor="text1"/>
          <w:sz w:val="32"/>
          <w:szCs w:val="32"/>
        </w:rPr>
      </w:pPr>
      <w:r>
        <w:rPr>
          <w:rFonts w:hint="eastAsia" w:ascii="宋体" w:hAnsi="宋体" w:cs="宋体"/>
          <w:color w:val="000000" w:themeColor="text1"/>
          <w:sz w:val="32"/>
          <w:szCs w:val="32"/>
        </w:rPr>
        <w:t>邮箱：</w:t>
      </w:r>
    </w:p>
    <w:p>
      <w:pPr>
        <w:ind w:left="4160" w:hanging="4160" w:hangingChars="1300"/>
        <w:rPr>
          <w:rFonts w:ascii="宋体" w:hAnsi="宋体" w:cs="宋体"/>
          <w:color w:val="000000" w:themeColor="text1"/>
          <w:sz w:val="32"/>
          <w:szCs w:val="32"/>
        </w:rPr>
      </w:pPr>
      <w:r>
        <w:rPr>
          <w:rFonts w:hint="eastAsia" w:ascii="宋体" w:hAnsi="宋体" w:cs="宋体"/>
          <w:color w:val="000000" w:themeColor="text1"/>
          <w:sz w:val="32"/>
          <w:szCs w:val="32"/>
        </w:rPr>
        <w:t>　　　　　　　　　　　　　　　　</w:t>
      </w:r>
    </w:p>
    <w:p>
      <w:pPr>
        <w:ind w:left="4160" w:hanging="4160" w:hangingChars="1300"/>
        <w:jc w:val="right"/>
        <w:rPr>
          <w:rFonts w:ascii="宋体" w:hAnsi="宋体" w:cs="宋体"/>
          <w:color w:val="000000" w:themeColor="text1"/>
          <w:sz w:val="32"/>
          <w:szCs w:val="32"/>
        </w:rPr>
      </w:pPr>
      <w:r>
        <w:rPr>
          <w:rFonts w:hint="eastAsia" w:ascii="宋体" w:hAnsi="宋体" w:cs="宋体"/>
          <w:color w:val="000000" w:themeColor="text1"/>
          <w:sz w:val="32"/>
          <w:szCs w:val="32"/>
        </w:rPr>
        <w:t>＿＿＿＿＿＿（单位公章）</w:t>
      </w:r>
    </w:p>
    <w:p>
      <w:pPr>
        <w:ind w:left="5280" w:hanging="5280" w:hangingChars="1650"/>
        <w:rPr>
          <w:rFonts w:ascii="宋体" w:hAnsi="宋体" w:cs="宋体"/>
          <w:color w:val="000000" w:themeColor="text1"/>
          <w:sz w:val="32"/>
          <w:szCs w:val="32"/>
        </w:rPr>
      </w:pPr>
      <w:r>
        <w:rPr>
          <w:rFonts w:hint="eastAsia" w:ascii="宋体" w:hAnsi="宋体" w:cs="宋体"/>
          <w:color w:val="000000" w:themeColor="text1"/>
          <w:sz w:val="32"/>
          <w:szCs w:val="32"/>
        </w:rPr>
        <w:t>　　　　　　　　　　　　　　　　　　　　　　　　　　　　　</w:t>
      </w:r>
      <w:r>
        <w:rPr>
          <w:rFonts w:hint="eastAsia" w:ascii="宋体" w:hAnsi="宋体" w:cs="宋体"/>
          <w:color w:val="000000" w:themeColor="text1"/>
          <w:sz w:val="32"/>
          <w:szCs w:val="32"/>
          <w:u w:val="single"/>
        </w:rPr>
        <w:t>2019年  月　日</w:t>
      </w:r>
    </w:p>
    <w:p>
      <w:pPr>
        <w:rPr>
          <w:rFonts w:ascii="宋体" w:hAnsi="宋体" w:cs="宋体"/>
          <w:b/>
          <w:color w:val="000000" w:themeColor="text1"/>
          <w:sz w:val="44"/>
          <w:szCs w:val="44"/>
        </w:rPr>
      </w:pPr>
      <w:r>
        <w:rPr>
          <w:rFonts w:hint="eastAsia" w:ascii="宋体" w:hAnsi="宋体" w:cs="宋体"/>
          <w:b/>
          <w:color w:val="000000" w:themeColor="text1"/>
          <w:sz w:val="44"/>
          <w:szCs w:val="44"/>
        </w:rPr>
        <w:br w:type="page"/>
      </w:r>
    </w:p>
    <w:p>
      <w:pPr>
        <w:pStyle w:val="4"/>
        <w:rPr>
          <w:rFonts w:ascii="宋体" w:hAnsi="宋体" w:eastAsia="宋体" w:cs="宋体"/>
          <w:b/>
          <w:color w:val="000000" w:themeColor="text1"/>
          <w:sz w:val="44"/>
          <w:szCs w:val="44"/>
        </w:rPr>
      </w:pPr>
      <w:r>
        <w:rPr>
          <w:rFonts w:hint="eastAsia" w:ascii="宋体" w:hAnsi="宋体" w:eastAsia="宋体" w:cs="宋体"/>
          <w:b/>
          <w:color w:val="000000" w:themeColor="text1"/>
          <w:sz w:val="44"/>
          <w:szCs w:val="44"/>
        </w:rPr>
        <w:t xml:space="preserve">第二章  </w:t>
      </w:r>
      <w:bookmarkEnd w:id="1"/>
      <w:bookmarkEnd w:id="2"/>
      <w:bookmarkEnd w:id="3"/>
      <w:bookmarkEnd w:id="4"/>
      <w:bookmarkEnd w:id="5"/>
      <w:bookmarkEnd w:id="9"/>
      <w:bookmarkStart w:id="11" w:name="_Toc513029202"/>
      <w:bookmarkStart w:id="12" w:name="_Toc120614213"/>
      <w:bookmarkStart w:id="13" w:name="_Toc16938518"/>
      <w:bookmarkStart w:id="14" w:name="_Toc20823274"/>
      <w:r>
        <w:rPr>
          <w:rFonts w:hint="eastAsia" w:ascii="宋体" w:hAnsi="宋体" w:eastAsia="宋体" w:cs="宋体"/>
          <w:b/>
          <w:color w:val="000000" w:themeColor="text1"/>
          <w:sz w:val="44"/>
          <w:szCs w:val="44"/>
        </w:rPr>
        <w:t>投标人须知</w:t>
      </w:r>
      <w:bookmarkEnd w:id="10"/>
      <w:bookmarkEnd w:id="11"/>
      <w:bookmarkEnd w:id="12"/>
      <w:bookmarkEnd w:id="13"/>
      <w:bookmarkEnd w:id="14"/>
    </w:p>
    <w:p>
      <w:pPr>
        <w:pStyle w:val="7"/>
        <w:spacing w:line="440" w:lineRule="exact"/>
        <w:ind w:firstLine="643" w:firstLineChars="200"/>
        <w:rPr>
          <w:rFonts w:ascii="宋体" w:hAnsi="宋体" w:cs="宋体"/>
          <w:color w:val="000000" w:themeColor="text1"/>
        </w:rPr>
      </w:pPr>
      <w:bookmarkStart w:id="15" w:name="_Toc513029203"/>
      <w:bookmarkStart w:id="16" w:name="_Toc16938519"/>
      <w:bookmarkStart w:id="17" w:name="_Toc20823275"/>
      <w:bookmarkStart w:id="18" w:name="_Toc120614214"/>
      <w:r>
        <w:rPr>
          <w:rFonts w:hint="eastAsia" w:ascii="宋体" w:hAnsi="宋体" w:cs="宋体"/>
          <w:color w:val="000000" w:themeColor="text1"/>
        </w:rPr>
        <w:t>一、总则</w:t>
      </w:r>
      <w:bookmarkEnd w:id="15"/>
      <w:bookmarkEnd w:id="16"/>
      <w:bookmarkEnd w:id="17"/>
      <w:bookmarkEnd w:id="18"/>
    </w:p>
    <w:p>
      <w:pPr>
        <w:pStyle w:val="8"/>
        <w:spacing w:before="0" w:after="0" w:line="440" w:lineRule="exact"/>
        <w:ind w:firstLine="560" w:firstLineChars="200"/>
        <w:rPr>
          <w:rFonts w:ascii="宋体" w:hAnsi="宋体" w:eastAsia="宋体" w:cs="宋体"/>
          <w:b w:val="0"/>
          <w:bCs w:val="0"/>
          <w:color w:val="000000" w:themeColor="text1"/>
        </w:rPr>
      </w:pPr>
      <w:bookmarkStart w:id="19" w:name="_Hlt16619475"/>
      <w:bookmarkEnd w:id="19"/>
      <w:bookmarkStart w:id="20" w:name="_Toc458694821"/>
      <w:bookmarkStart w:id="21" w:name="_Toc513029204"/>
      <w:bookmarkStart w:id="22" w:name="_Toc20823276"/>
      <w:bookmarkStart w:id="23" w:name="_Toc16938520"/>
      <w:r>
        <w:rPr>
          <w:rFonts w:hint="eastAsia" w:ascii="宋体" w:hAnsi="宋体" w:eastAsia="宋体" w:cs="宋体"/>
          <w:b w:val="0"/>
          <w:bCs w:val="0"/>
          <w:color w:val="000000" w:themeColor="text1"/>
        </w:rPr>
        <w:t>1</w:t>
      </w:r>
      <w:bookmarkEnd w:id="20"/>
      <w:r>
        <w:rPr>
          <w:rFonts w:hint="eastAsia" w:ascii="宋体" w:hAnsi="宋体" w:eastAsia="宋体" w:cs="宋体"/>
          <w:b w:val="0"/>
          <w:bCs w:val="0"/>
          <w:color w:val="000000" w:themeColor="text1"/>
        </w:rPr>
        <w:t>、招标方式</w:t>
      </w:r>
      <w:bookmarkEnd w:id="21"/>
      <w:bookmarkEnd w:id="22"/>
      <w:bookmarkEnd w:id="23"/>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1.1 本次招标采取公开招标方式，本招标文件仅适用于招标公告中所述项目。</w:t>
      </w:r>
    </w:p>
    <w:p>
      <w:pPr>
        <w:pStyle w:val="8"/>
        <w:spacing w:before="0" w:after="0" w:line="440" w:lineRule="exact"/>
        <w:ind w:firstLine="560" w:firstLineChars="200"/>
        <w:rPr>
          <w:rFonts w:ascii="宋体" w:hAnsi="宋体" w:eastAsia="宋体" w:cs="宋体"/>
          <w:b w:val="0"/>
          <w:bCs w:val="0"/>
          <w:color w:val="000000" w:themeColor="text1"/>
        </w:rPr>
      </w:pPr>
      <w:bookmarkStart w:id="24" w:name="_Toc513029205"/>
      <w:bookmarkStart w:id="25" w:name="_Toc20823277"/>
      <w:bookmarkStart w:id="26" w:name="_Toc16938521"/>
      <w:r>
        <w:rPr>
          <w:rFonts w:hint="eastAsia" w:ascii="宋体" w:hAnsi="宋体" w:eastAsia="宋体" w:cs="宋体"/>
          <w:b w:val="0"/>
          <w:bCs w:val="0"/>
          <w:color w:val="000000" w:themeColor="text1"/>
        </w:rPr>
        <w:t>2、合格的投标人</w:t>
      </w:r>
      <w:bookmarkEnd w:id="24"/>
      <w:bookmarkEnd w:id="25"/>
      <w:bookmarkEnd w:id="26"/>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8"/>
        <w:spacing w:before="0" w:after="0" w:line="440" w:lineRule="exact"/>
        <w:ind w:firstLine="560" w:firstLineChars="200"/>
        <w:rPr>
          <w:rFonts w:ascii="宋体" w:hAnsi="宋体" w:eastAsia="宋体" w:cs="宋体"/>
          <w:b w:val="0"/>
          <w:bCs w:val="0"/>
          <w:color w:val="000000" w:themeColor="text1"/>
        </w:rPr>
      </w:pPr>
      <w:bookmarkStart w:id="27" w:name="_Toc20823278"/>
      <w:bookmarkStart w:id="28" w:name="_Toc16938522"/>
      <w:bookmarkStart w:id="29" w:name="_Toc513029206"/>
      <w:r>
        <w:rPr>
          <w:rFonts w:hint="eastAsia" w:ascii="宋体" w:hAnsi="宋体" w:eastAsia="宋体" w:cs="宋体"/>
          <w:b w:val="0"/>
          <w:bCs w:val="0"/>
          <w:color w:val="000000" w:themeColor="text1"/>
        </w:rPr>
        <w:t>3、适用法律</w:t>
      </w:r>
      <w:bookmarkEnd w:id="27"/>
      <w:bookmarkEnd w:id="28"/>
      <w:bookmarkEnd w:id="29"/>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3.1 本次招标及由此产生的合同受中华人民共和国有关的法律法规制约和保护。</w:t>
      </w:r>
    </w:p>
    <w:p>
      <w:pPr>
        <w:pStyle w:val="8"/>
        <w:spacing w:before="0" w:after="0" w:line="440" w:lineRule="exact"/>
        <w:ind w:firstLine="560" w:firstLineChars="200"/>
        <w:rPr>
          <w:rFonts w:ascii="宋体" w:hAnsi="宋体" w:eastAsia="宋体" w:cs="宋体"/>
          <w:b w:val="0"/>
          <w:bCs w:val="0"/>
          <w:color w:val="000000" w:themeColor="text1"/>
        </w:rPr>
      </w:pPr>
      <w:bookmarkStart w:id="30" w:name="_Toc462564067"/>
      <w:bookmarkStart w:id="31" w:name="_Toc20823279"/>
      <w:bookmarkStart w:id="32" w:name="_Toc513029207"/>
      <w:bookmarkStart w:id="33" w:name="_Toc16938523"/>
      <w:r>
        <w:rPr>
          <w:rFonts w:hint="eastAsia" w:ascii="宋体" w:hAnsi="宋体" w:eastAsia="宋体" w:cs="宋体"/>
          <w:b w:val="0"/>
          <w:bCs w:val="0"/>
          <w:color w:val="000000" w:themeColor="text1"/>
        </w:rPr>
        <w:t>4、投标费用</w:t>
      </w:r>
      <w:bookmarkEnd w:id="30"/>
      <w:bookmarkEnd w:id="31"/>
      <w:bookmarkEnd w:id="32"/>
      <w:bookmarkEnd w:id="33"/>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4.1</w:t>
      </w:r>
      <w:r>
        <w:rPr>
          <w:rFonts w:hint="eastAsia" w:ascii="宋体" w:hAnsi="宋体" w:cs="宋体"/>
          <w:color w:val="000000" w:themeColor="text1"/>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本项目各分包中标人与采购人签订合同前，须分别向采购代理机构支付招标代理服务费，收费标准按中标价的1.5%×42%计取（如低于3000元的直接按3000元/分包计取）；上述费用由各投标人在投标时自行综合考虑分摊含进投标报价中，且不得单列，采购人不再承担上述费用。</w:t>
      </w:r>
    </w:p>
    <w:p>
      <w:pPr>
        <w:pStyle w:val="8"/>
        <w:spacing w:before="0" w:after="0" w:line="440" w:lineRule="exact"/>
        <w:ind w:firstLine="602" w:firstLineChars="200"/>
        <w:rPr>
          <w:rFonts w:ascii="宋体" w:hAnsi="宋体" w:eastAsia="宋体" w:cs="宋体"/>
          <w:b w:val="0"/>
          <w:bCs w:val="0"/>
          <w:color w:val="000000" w:themeColor="text1"/>
        </w:rPr>
      </w:pPr>
      <w:r>
        <w:rPr>
          <w:rFonts w:hint="eastAsia" w:ascii="宋体" w:hAnsi="宋体" w:eastAsia="宋体" w:cs="宋体"/>
          <w:color w:val="000000" w:themeColor="text1"/>
          <w:sz w:val="30"/>
        </w:rPr>
        <w:t>5、</w:t>
      </w:r>
      <w:r>
        <w:rPr>
          <w:rFonts w:hint="eastAsia" w:ascii="宋体" w:hAnsi="宋体" w:eastAsia="宋体" w:cs="宋体"/>
          <w:b w:val="0"/>
          <w:bCs w:val="0"/>
          <w:color w:val="000000" w:themeColor="text1"/>
        </w:rPr>
        <w:t>招标文件的约束力</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8"/>
        <w:spacing w:before="0" w:after="0" w:line="440" w:lineRule="exact"/>
        <w:ind w:firstLine="560" w:firstLineChars="200"/>
        <w:rPr>
          <w:rFonts w:ascii="宋体" w:hAnsi="宋体" w:eastAsia="宋体" w:cs="宋体"/>
          <w:b w:val="0"/>
          <w:bCs w:val="0"/>
          <w:color w:val="000000" w:themeColor="text1"/>
        </w:rPr>
      </w:pPr>
      <w:r>
        <w:rPr>
          <w:rFonts w:hint="eastAsia" w:ascii="宋体" w:hAnsi="宋体" w:eastAsia="宋体" w:cs="宋体"/>
          <w:b w:val="0"/>
          <w:bCs w:val="0"/>
          <w:color w:val="000000" w:themeColor="text1"/>
        </w:rPr>
        <w:t>6、招标文件的解释</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7"/>
        <w:spacing w:line="440" w:lineRule="exact"/>
        <w:ind w:firstLine="643" w:firstLineChars="200"/>
        <w:rPr>
          <w:rFonts w:ascii="宋体" w:hAnsi="宋体" w:cs="宋体"/>
          <w:color w:val="000000" w:themeColor="text1"/>
        </w:rPr>
      </w:pPr>
      <w:bookmarkStart w:id="34" w:name="_Toc120614215"/>
      <w:bookmarkStart w:id="35" w:name="_Toc513029209"/>
      <w:bookmarkStart w:id="36" w:name="_Toc20823281"/>
      <w:bookmarkStart w:id="37" w:name="_Toc16938525"/>
      <w:r>
        <w:rPr>
          <w:rFonts w:hint="eastAsia" w:ascii="宋体" w:hAnsi="宋体" w:cs="宋体"/>
          <w:color w:val="000000" w:themeColor="text1"/>
        </w:rPr>
        <w:t>二、招标文件</w:t>
      </w:r>
      <w:bookmarkEnd w:id="34"/>
      <w:bookmarkEnd w:id="35"/>
      <w:bookmarkEnd w:id="36"/>
      <w:bookmarkEnd w:id="37"/>
    </w:p>
    <w:p>
      <w:pPr>
        <w:pStyle w:val="8"/>
        <w:spacing w:before="0" w:after="0" w:line="440" w:lineRule="exact"/>
        <w:ind w:firstLine="560" w:firstLineChars="200"/>
        <w:rPr>
          <w:rFonts w:ascii="宋体" w:hAnsi="宋体" w:eastAsia="宋体" w:cs="宋体"/>
          <w:b w:val="0"/>
          <w:bCs w:val="0"/>
          <w:color w:val="000000" w:themeColor="text1"/>
        </w:rPr>
      </w:pPr>
      <w:bookmarkStart w:id="38" w:name="_Toc16938526"/>
      <w:bookmarkStart w:id="39" w:name="_Toc20823282"/>
      <w:bookmarkStart w:id="40" w:name="_Toc513029210"/>
      <w:r>
        <w:rPr>
          <w:rFonts w:hint="eastAsia" w:ascii="宋体" w:hAnsi="宋体" w:eastAsia="宋体" w:cs="宋体"/>
          <w:b w:val="0"/>
          <w:bCs w:val="0"/>
          <w:color w:val="000000" w:themeColor="text1"/>
        </w:rPr>
        <w:t>7、招标文件构成</w:t>
      </w:r>
      <w:bookmarkEnd w:id="38"/>
      <w:bookmarkEnd w:id="39"/>
      <w:bookmarkEnd w:id="40"/>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7.1</w:t>
      </w:r>
      <w:r>
        <w:rPr>
          <w:rFonts w:hint="eastAsia" w:ascii="宋体" w:hAnsi="宋体" w:cs="宋体"/>
          <w:color w:val="000000" w:themeColor="text1"/>
          <w:sz w:val="24"/>
        </w:rPr>
        <w:t xml:space="preserve"> 招标文件有以下部分组成：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（4）项目需求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请仔细检查招标文件是否齐全，如有缺漏请立即与</w:t>
      </w:r>
      <w:r>
        <w:rPr>
          <w:rFonts w:hint="eastAsia" w:ascii="宋体" w:hAnsi="宋体" w:cs="宋体"/>
          <w:color w:val="000000" w:themeColor="text1"/>
          <w:sz w:val="24"/>
          <w:szCs w:val="24"/>
        </w:rPr>
        <w:t>采购人或采购代理机构</w:t>
      </w:r>
      <w:r>
        <w:rPr>
          <w:rFonts w:hint="eastAsia" w:ascii="宋体" w:hAnsi="宋体" w:cs="宋体"/>
          <w:color w:val="000000" w:themeColor="text1"/>
          <w:sz w:val="24"/>
        </w:rPr>
        <w:t>联系解决。</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7.2</w:t>
      </w:r>
      <w:r>
        <w:rPr>
          <w:rFonts w:hint="eastAsia" w:ascii="宋体" w:hAnsi="宋体" w:cs="宋体"/>
          <w:color w:val="000000" w:themeColor="text1"/>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8"/>
        <w:spacing w:before="0" w:after="0" w:line="440" w:lineRule="exact"/>
        <w:ind w:firstLine="560" w:firstLineChars="200"/>
        <w:rPr>
          <w:rFonts w:ascii="宋体" w:hAnsi="宋体" w:eastAsia="宋体" w:cs="宋体"/>
          <w:b w:val="0"/>
          <w:bCs w:val="0"/>
          <w:color w:val="000000" w:themeColor="text1"/>
        </w:rPr>
      </w:pPr>
      <w:bookmarkStart w:id="41" w:name="_Toc513029211"/>
      <w:bookmarkStart w:id="42" w:name="_Toc20823283"/>
      <w:bookmarkStart w:id="43" w:name="_Toc462564070"/>
      <w:bookmarkStart w:id="44" w:name="_Toc16938527"/>
      <w:r>
        <w:rPr>
          <w:rFonts w:hint="eastAsia" w:ascii="宋体" w:hAnsi="宋体" w:eastAsia="宋体" w:cs="宋体"/>
          <w:b w:val="0"/>
          <w:bCs w:val="0"/>
          <w:color w:val="000000" w:themeColor="text1"/>
        </w:rPr>
        <w:t>8、招标文件的</w:t>
      </w:r>
      <w:bookmarkEnd w:id="41"/>
      <w:bookmarkEnd w:id="42"/>
      <w:bookmarkEnd w:id="43"/>
      <w:bookmarkEnd w:id="44"/>
      <w:r>
        <w:rPr>
          <w:rFonts w:hint="eastAsia" w:ascii="宋体" w:hAnsi="宋体" w:eastAsia="宋体" w:cs="宋体"/>
          <w:b w:val="0"/>
          <w:bCs w:val="0"/>
          <w:color w:val="000000" w:themeColor="text1"/>
        </w:rPr>
        <w:t>询问</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rPr>
        <w:t>8.1</w:t>
      </w:r>
      <w:r>
        <w:rPr>
          <w:rFonts w:hint="eastAsia" w:ascii="宋体" w:hAnsi="宋体" w:cs="宋体"/>
          <w:color w:val="000000" w:themeColor="text1"/>
          <w:sz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w:t>
      </w:r>
      <w:r>
        <w:rPr>
          <w:rFonts w:hint="eastAsia" w:ascii="宋体" w:hAnsi="宋体" w:cs="宋体"/>
          <w:color w:val="000000" w:themeColor="text1"/>
          <w:sz w:val="24"/>
        </w:rPr>
        <w:t>按招标公告中的通讯地址，向采购代理机构或采购人提出。</w:t>
      </w:r>
    </w:p>
    <w:p>
      <w:pPr>
        <w:pStyle w:val="8"/>
        <w:spacing w:before="0" w:after="0" w:line="440" w:lineRule="exact"/>
        <w:ind w:firstLine="560" w:firstLineChars="200"/>
        <w:rPr>
          <w:rFonts w:ascii="宋体" w:hAnsi="宋体" w:eastAsia="宋体" w:cs="宋体"/>
          <w:b w:val="0"/>
          <w:bCs w:val="0"/>
          <w:color w:val="000000" w:themeColor="text1"/>
        </w:rPr>
      </w:pPr>
      <w:bookmarkStart w:id="45" w:name="_Toc16938528"/>
      <w:bookmarkStart w:id="46" w:name="_Toc20823284"/>
      <w:bookmarkStart w:id="47" w:name="_Toc513029212"/>
      <w:bookmarkStart w:id="48" w:name="_Toc462564071"/>
      <w:r>
        <w:rPr>
          <w:rFonts w:hint="eastAsia" w:ascii="宋体" w:hAnsi="宋体" w:eastAsia="宋体" w:cs="宋体"/>
          <w:b w:val="0"/>
          <w:bCs w:val="0"/>
          <w:color w:val="000000" w:themeColor="text1"/>
        </w:rPr>
        <w:t>9、招标文件的修改</w:t>
      </w:r>
      <w:bookmarkEnd w:id="45"/>
      <w:bookmarkEnd w:id="46"/>
      <w:bookmarkEnd w:id="47"/>
      <w:bookmarkEnd w:id="48"/>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9.1</w:t>
      </w:r>
      <w:r>
        <w:rPr>
          <w:rFonts w:hint="eastAsia" w:ascii="宋体" w:hAnsi="宋体" w:cs="宋体"/>
          <w:color w:val="000000" w:themeColor="text1"/>
          <w:sz w:val="24"/>
        </w:rPr>
        <w:t xml:space="preserve"> 在投标截止时间三天前，采购人可以对招标文件进行修改。</w:t>
      </w:r>
    </w:p>
    <w:p>
      <w:pPr>
        <w:spacing w:line="440" w:lineRule="exact"/>
        <w:ind w:firstLine="480" w:firstLineChars="200"/>
        <w:rPr>
          <w:rFonts w:ascii="宋体" w:hAnsi="宋体" w:cs="宋体"/>
          <w:color w:val="000000" w:themeColor="text1"/>
          <w:sz w:val="28"/>
        </w:rPr>
      </w:pPr>
      <w:r>
        <w:rPr>
          <w:rFonts w:hint="eastAsia" w:ascii="宋体" w:hAnsi="宋体" w:cs="宋体"/>
          <w:bCs/>
          <w:color w:val="000000" w:themeColor="text1"/>
          <w:sz w:val="24"/>
        </w:rPr>
        <w:t>9.2</w:t>
      </w:r>
      <w:r>
        <w:rPr>
          <w:rFonts w:hint="eastAsia" w:ascii="宋体" w:hAnsi="宋体" w:cs="宋体"/>
          <w:color w:val="000000" w:themeColor="text1"/>
          <w:sz w:val="24"/>
        </w:rPr>
        <w:t>采购人</w:t>
      </w:r>
      <w:r>
        <w:rPr>
          <w:rFonts w:hint="eastAsia" w:ascii="宋体" w:hAnsi="宋体" w:cs="宋体"/>
          <w:color w:val="000000" w:themeColor="text1"/>
          <w:sz w:val="24"/>
          <w:szCs w:val="24"/>
        </w:rPr>
        <w:t>有权依法</w:t>
      </w:r>
      <w:r>
        <w:rPr>
          <w:rFonts w:hint="eastAsia" w:ascii="宋体" w:hAnsi="宋体" w:cs="宋体"/>
          <w:color w:val="000000" w:themeColor="text1"/>
          <w:sz w:val="24"/>
        </w:rPr>
        <w:t>推迟投标截止日期和开标日期。</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9.3</w:t>
      </w:r>
      <w:r>
        <w:rPr>
          <w:rFonts w:hint="eastAsia" w:ascii="宋体" w:hAnsi="宋体" w:cs="宋体"/>
          <w:color w:val="000000" w:themeColor="text1"/>
          <w:sz w:val="24"/>
        </w:rPr>
        <w:t>招标文件的修改将在</w:t>
      </w:r>
      <w:r>
        <w:rPr>
          <w:rFonts w:hint="eastAsia" w:ascii="宋体" w:hAnsi="宋体" w:cs="宋体"/>
          <w:bCs/>
          <w:color w:val="000000" w:themeColor="text1"/>
          <w:sz w:val="24"/>
        </w:rPr>
        <w:t>“盐城市政府采购网”和“盐城工业职业技术学院招标采购网”</w:t>
      </w:r>
      <w:r>
        <w:rPr>
          <w:rFonts w:hint="eastAsia" w:ascii="宋体" w:hAnsi="宋体" w:cs="宋体"/>
          <w:color w:val="000000" w:themeColor="text1"/>
          <w:sz w:val="24"/>
        </w:rPr>
        <w:t>公布，</w:t>
      </w:r>
      <w:r>
        <w:rPr>
          <w:rFonts w:hint="eastAsia" w:ascii="宋体" w:hAnsi="宋体" w:cs="宋体"/>
          <w:color w:val="000000" w:themeColor="text1"/>
          <w:sz w:val="24"/>
          <w:szCs w:val="24"/>
        </w:rPr>
        <w:t>补充文件将作为招标文件的组成部分，</w:t>
      </w:r>
      <w:r>
        <w:rPr>
          <w:rFonts w:hint="eastAsia" w:ascii="宋体" w:hAnsi="宋体" w:cs="宋体"/>
          <w:color w:val="000000" w:themeColor="text1"/>
          <w:sz w:val="24"/>
        </w:rPr>
        <w:t>并对投标人具有约束力。</w:t>
      </w:r>
    </w:p>
    <w:p>
      <w:pPr>
        <w:pStyle w:val="7"/>
        <w:spacing w:line="440" w:lineRule="exact"/>
        <w:ind w:firstLine="643" w:firstLineChars="200"/>
        <w:rPr>
          <w:rFonts w:ascii="宋体" w:hAnsi="宋体" w:cs="宋体"/>
          <w:color w:val="000000" w:themeColor="text1"/>
        </w:rPr>
      </w:pPr>
      <w:bookmarkStart w:id="49" w:name="_Toc16938529"/>
      <w:bookmarkStart w:id="50" w:name="_Toc20823285"/>
      <w:bookmarkStart w:id="51" w:name="_Toc513029213"/>
      <w:bookmarkStart w:id="52" w:name="_Toc120614216"/>
      <w:bookmarkStart w:id="53" w:name="_Toc462564072"/>
      <w:r>
        <w:rPr>
          <w:rFonts w:hint="eastAsia" w:ascii="宋体" w:hAnsi="宋体" w:cs="宋体"/>
          <w:color w:val="000000" w:themeColor="text1"/>
        </w:rPr>
        <w:t>三、投标文件的编制</w:t>
      </w:r>
      <w:bookmarkEnd w:id="49"/>
      <w:bookmarkEnd w:id="50"/>
      <w:bookmarkEnd w:id="51"/>
      <w:bookmarkEnd w:id="52"/>
      <w:bookmarkEnd w:id="53"/>
    </w:p>
    <w:p>
      <w:pPr>
        <w:pStyle w:val="8"/>
        <w:spacing w:before="0" w:after="0" w:line="440" w:lineRule="exact"/>
        <w:ind w:firstLine="560" w:firstLineChars="200"/>
        <w:rPr>
          <w:rFonts w:ascii="宋体" w:hAnsi="宋体" w:eastAsia="宋体" w:cs="宋体"/>
          <w:bCs w:val="0"/>
          <w:color w:val="000000" w:themeColor="text1"/>
        </w:rPr>
      </w:pPr>
      <w:bookmarkStart w:id="54" w:name="_Toc513029214"/>
      <w:bookmarkStart w:id="55" w:name="_Toc462564073"/>
      <w:bookmarkStart w:id="56" w:name="_Toc16938530"/>
      <w:bookmarkStart w:id="57" w:name="_Toc20823286"/>
      <w:r>
        <w:rPr>
          <w:rFonts w:hint="eastAsia" w:ascii="宋体" w:hAnsi="宋体" w:eastAsia="宋体" w:cs="宋体"/>
          <w:b w:val="0"/>
          <w:bCs w:val="0"/>
          <w:color w:val="000000" w:themeColor="text1"/>
        </w:rPr>
        <w:t>10、投标文件的语言及度量衡单位</w:t>
      </w:r>
      <w:bookmarkEnd w:id="54"/>
      <w:bookmarkEnd w:id="55"/>
      <w:bookmarkEnd w:id="56"/>
      <w:bookmarkEnd w:id="57"/>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10.1</w:t>
      </w:r>
      <w:r>
        <w:rPr>
          <w:rFonts w:hint="eastAsia" w:ascii="宋体" w:hAnsi="宋体" w:cs="宋体"/>
          <w:color w:val="000000" w:themeColor="text1"/>
          <w:sz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rPr>
        <w:t>简体中文</w:t>
      </w:r>
      <w:r>
        <w:rPr>
          <w:rFonts w:hint="eastAsia" w:ascii="宋体" w:hAnsi="宋体" w:cs="宋体"/>
          <w:color w:val="000000" w:themeColor="text1"/>
          <w:sz w:val="24"/>
        </w:rPr>
        <w:t>。</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10.2</w:t>
      </w:r>
      <w:r>
        <w:rPr>
          <w:rFonts w:hint="eastAsia" w:ascii="宋体" w:hAnsi="宋体" w:cs="宋体"/>
          <w:color w:val="000000" w:themeColor="text1"/>
          <w:sz w:val="24"/>
        </w:rPr>
        <w:t xml:space="preserve"> 除技术性能另有规定外，投标文件所使用的度量衡单位，均须采用国家法定计量单位。</w:t>
      </w:r>
    </w:p>
    <w:p>
      <w:pPr>
        <w:pStyle w:val="8"/>
        <w:spacing w:before="0" w:after="0" w:line="440" w:lineRule="exact"/>
        <w:ind w:firstLine="560" w:firstLineChars="200"/>
        <w:rPr>
          <w:rFonts w:ascii="宋体" w:hAnsi="宋体" w:eastAsia="宋体" w:cs="宋体"/>
          <w:b w:val="0"/>
          <w:bCs w:val="0"/>
          <w:color w:val="000000" w:themeColor="text1"/>
        </w:rPr>
      </w:pPr>
      <w:bookmarkStart w:id="58" w:name="_Toc16938531"/>
      <w:bookmarkStart w:id="59" w:name="_Toc20823287"/>
      <w:bookmarkStart w:id="60" w:name="_Toc513029215"/>
      <w:bookmarkStart w:id="61" w:name="_Toc462564074"/>
      <w:r>
        <w:rPr>
          <w:rFonts w:hint="eastAsia" w:ascii="宋体" w:hAnsi="宋体" w:eastAsia="宋体" w:cs="宋体"/>
          <w:b w:val="0"/>
          <w:bCs w:val="0"/>
          <w:color w:val="000000" w:themeColor="text1"/>
        </w:rPr>
        <w:t>11、投标文件构成</w:t>
      </w:r>
      <w:bookmarkEnd w:id="58"/>
      <w:bookmarkEnd w:id="59"/>
      <w:bookmarkEnd w:id="60"/>
      <w:bookmarkEnd w:id="61"/>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11.1</w:t>
      </w:r>
      <w:r>
        <w:rPr>
          <w:rFonts w:hint="eastAsia" w:ascii="宋体" w:hAnsi="宋体" w:cs="宋体"/>
          <w:color w:val="000000" w:themeColor="text1"/>
          <w:sz w:val="24"/>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11.2投标人应将投标文件按顺序装订成册，并编制投标文件资料目录。</w:t>
      </w:r>
    </w:p>
    <w:p>
      <w:pPr>
        <w:pStyle w:val="8"/>
        <w:spacing w:before="0" w:after="0" w:line="440" w:lineRule="exact"/>
        <w:ind w:firstLine="560" w:firstLineChars="200"/>
        <w:rPr>
          <w:rFonts w:ascii="宋体" w:hAnsi="宋体" w:eastAsia="宋体" w:cs="宋体"/>
          <w:b w:val="0"/>
          <w:bCs w:val="0"/>
          <w:color w:val="000000" w:themeColor="text1"/>
        </w:rPr>
      </w:pPr>
      <w:bookmarkStart w:id="62" w:name="_Hlt26668975"/>
      <w:bookmarkEnd w:id="62"/>
      <w:bookmarkStart w:id="63" w:name="_Hlt26954838"/>
      <w:bookmarkEnd w:id="63"/>
      <w:bookmarkStart w:id="64" w:name="_Hlt26670360"/>
      <w:bookmarkEnd w:id="64"/>
      <w:bookmarkStart w:id="65" w:name="_Toc513029219"/>
      <w:bookmarkStart w:id="66" w:name="_Toc49090509"/>
      <w:bookmarkStart w:id="67" w:name="_Toc14577357"/>
      <w:bookmarkStart w:id="68" w:name="_Toc14577354"/>
      <w:bookmarkStart w:id="69" w:name="_Toc49090507"/>
      <w:bookmarkStart w:id="70" w:name="_Toc513029216"/>
      <w:r>
        <w:rPr>
          <w:rFonts w:hint="eastAsia" w:ascii="宋体" w:hAnsi="宋体" w:eastAsia="宋体" w:cs="宋体"/>
          <w:b w:val="0"/>
          <w:bCs w:val="0"/>
          <w:color w:val="000000" w:themeColor="text1"/>
        </w:rPr>
        <w:t>12、证明投标人资格及符合招标文件规定的文件</w:t>
      </w:r>
      <w:bookmarkEnd w:id="65"/>
      <w:bookmarkEnd w:id="66"/>
      <w:bookmarkEnd w:id="67"/>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12.1</w:t>
      </w:r>
      <w:bookmarkStart w:id="71" w:name="_Hlt26668999"/>
      <w:bookmarkEnd w:id="71"/>
      <w:r>
        <w:rPr>
          <w:rFonts w:hint="eastAsia" w:ascii="宋体" w:hAnsi="宋体" w:cs="宋体"/>
          <w:color w:val="000000" w:themeColor="text1"/>
          <w:sz w:val="24"/>
        </w:rPr>
        <w:t>投标人应按要求提交资格证明文件及符合招标文件规定的文件。</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12.4投标人应提交根据合同要求提供的证明产品质量合格以及符合招标文件规定的证明文件。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12.5证明投标人所提供货物与招标文件的要求相一致的文件可以是手册、图纸、文字资料和数据</w:t>
      </w:r>
      <w:r>
        <w:rPr>
          <w:rFonts w:hint="eastAsia" w:ascii="宋体" w:hAnsi="宋体" w:cs="宋体"/>
          <w:bCs/>
          <w:color w:val="000000" w:themeColor="text1"/>
          <w:sz w:val="24"/>
        </w:rPr>
        <w:t>。</w:t>
      </w:r>
    </w:p>
    <w:bookmarkEnd w:id="68"/>
    <w:bookmarkEnd w:id="69"/>
    <w:bookmarkEnd w:id="70"/>
    <w:p>
      <w:pPr>
        <w:pStyle w:val="8"/>
        <w:spacing w:before="0" w:after="0" w:line="440" w:lineRule="exact"/>
        <w:ind w:firstLine="560" w:firstLineChars="200"/>
        <w:rPr>
          <w:rFonts w:ascii="宋体" w:hAnsi="宋体" w:eastAsia="宋体" w:cs="宋体"/>
          <w:b w:val="0"/>
          <w:bCs w:val="0"/>
          <w:color w:val="000000" w:themeColor="text1"/>
        </w:rPr>
      </w:pPr>
      <w:bookmarkStart w:id="72" w:name="_Toc14577355"/>
      <w:bookmarkStart w:id="73" w:name="_Toc49090508"/>
      <w:r>
        <w:rPr>
          <w:rFonts w:hint="eastAsia" w:ascii="宋体" w:hAnsi="宋体" w:eastAsia="宋体" w:cs="宋体"/>
          <w:b w:val="0"/>
          <w:bCs w:val="0"/>
          <w:color w:val="000000" w:themeColor="text1"/>
        </w:rPr>
        <w:t>13、供货一览表和投标配置与分项报价</w:t>
      </w:r>
      <w:bookmarkEnd w:id="72"/>
      <w:bookmarkStart w:id="74" w:name="_Hlt26670373"/>
      <w:bookmarkEnd w:id="74"/>
      <w:r>
        <w:rPr>
          <w:rFonts w:hint="eastAsia" w:ascii="宋体" w:hAnsi="宋体" w:eastAsia="宋体" w:cs="宋体"/>
          <w:b w:val="0"/>
          <w:bCs w:val="0"/>
          <w:color w:val="000000" w:themeColor="text1"/>
        </w:rPr>
        <w:t>表</w:t>
      </w:r>
      <w:bookmarkEnd w:id="73"/>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13.1</w:t>
      </w:r>
      <w:r>
        <w:rPr>
          <w:rFonts w:hint="eastAsia" w:ascii="宋体" w:hAnsi="宋体" w:cs="宋体"/>
          <w:color w:val="000000" w:themeColor="text1"/>
          <w:sz w:val="24"/>
        </w:rPr>
        <w:t xml:space="preserve"> 投</w:t>
      </w:r>
      <w:bookmarkStart w:id="75" w:name="_Hlt26954840"/>
      <w:bookmarkEnd w:id="75"/>
      <w:r>
        <w:rPr>
          <w:rFonts w:hint="eastAsia" w:ascii="宋体" w:hAnsi="宋体" w:cs="宋体"/>
          <w:color w:val="000000" w:themeColor="text1"/>
          <w:sz w:val="24"/>
        </w:rPr>
        <w:t>标人应按照招标文件规定格式填报供货一览表、投标配置与分项报价表</w:t>
      </w:r>
      <w:bookmarkStart w:id="76" w:name="_Hlt26670399"/>
      <w:bookmarkEnd w:id="76"/>
      <w:r>
        <w:rPr>
          <w:rFonts w:hint="eastAsia" w:ascii="宋体" w:hAnsi="宋体" w:cs="宋体"/>
          <w:color w:val="000000" w:themeColor="text1"/>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13.2</w:t>
      </w:r>
      <w:r>
        <w:rPr>
          <w:rFonts w:hint="eastAsia" w:ascii="宋体" w:hAnsi="宋体" w:cs="宋体"/>
          <w:color w:val="000000" w:themeColor="text1"/>
          <w:sz w:val="24"/>
        </w:rPr>
        <w:t xml:space="preserve"> 标的物</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采购人需求的货物供应、安装，调试及有关技术服务等</w:t>
      </w:r>
      <w:r>
        <w:rPr>
          <w:rFonts w:hint="eastAsia" w:ascii="宋体" w:hAnsi="宋体" w:cs="宋体"/>
          <w:color w:val="000000" w:themeColor="text1"/>
          <w:sz w:val="24"/>
        </w:rPr>
        <w:t>。</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13.3</w:t>
      </w:r>
      <w:r>
        <w:rPr>
          <w:rFonts w:hint="eastAsia" w:ascii="宋体" w:hAnsi="宋体" w:cs="宋体"/>
          <w:bCs/>
          <w:color w:val="000000" w:themeColor="text1"/>
          <w:sz w:val="24"/>
        </w:rPr>
        <w:t>有关费用处理</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13.4</w:t>
      </w:r>
      <w:r>
        <w:rPr>
          <w:rFonts w:hint="eastAsia" w:ascii="宋体" w:hAnsi="宋体" w:cs="宋体"/>
          <w:bCs/>
          <w:color w:val="000000" w:themeColor="text1"/>
          <w:sz w:val="24"/>
        </w:rPr>
        <w:t>其它费用处理</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招标文件未列明，而投标人认为必需的费用也需列入报价。</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13.5</w:t>
      </w:r>
      <w:r>
        <w:rPr>
          <w:rFonts w:hint="eastAsia" w:ascii="宋体" w:hAnsi="宋体" w:cs="宋体"/>
          <w:bCs/>
          <w:color w:val="000000" w:themeColor="text1"/>
          <w:sz w:val="24"/>
        </w:rPr>
        <w:t>投标货币</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投标文件中的货物单价和总价无特殊规定的采用人民币报价，以元为单位标注。</w:t>
      </w:r>
      <w:r>
        <w:rPr>
          <w:rFonts w:hint="eastAsia" w:ascii="宋体" w:hAnsi="宋体" w:cs="宋体"/>
          <w:color w:val="000000" w:themeColor="text1"/>
          <w:sz w:val="24"/>
        </w:rPr>
        <w:t>招标文件中另有规定的按规定执行。</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13.6</w:t>
      </w:r>
      <w:r>
        <w:rPr>
          <w:rFonts w:hint="eastAsia" w:ascii="宋体" w:hAnsi="宋体" w:cs="宋体"/>
          <w:bCs/>
          <w:color w:val="000000" w:themeColor="text1"/>
          <w:sz w:val="24"/>
        </w:rPr>
        <w:t xml:space="preserve"> 投标配置与分项报价表上的价格应按下列方式分开填写</w:t>
      </w:r>
      <w:r>
        <w:rPr>
          <w:rFonts w:hint="eastAsia" w:ascii="宋体" w:hAnsi="宋体" w:cs="宋体"/>
          <w:color w:val="000000" w:themeColor="text1"/>
          <w:sz w:val="24"/>
        </w:rPr>
        <w:t>：</w:t>
      </w:r>
    </w:p>
    <w:p>
      <w:pPr>
        <w:spacing w:line="440" w:lineRule="exact"/>
        <w:ind w:firstLine="480" w:firstLineChars="200"/>
        <w:rPr>
          <w:rFonts w:ascii="宋体" w:hAnsi="宋体" w:cs="宋体"/>
          <w:bCs/>
          <w:color w:val="000000" w:themeColor="text1"/>
          <w:sz w:val="24"/>
        </w:rPr>
      </w:pPr>
      <w:bookmarkStart w:id="77" w:name="_Hlt26668983"/>
      <w:bookmarkEnd w:id="77"/>
      <w:bookmarkStart w:id="78" w:name="_Hlt26670425"/>
      <w:bookmarkEnd w:id="78"/>
      <w:bookmarkStart w:id="79" w:name="_Hlt26670403"/>
      <w:bookmarkEnd w:id="79"/>
      <w:bookmarkStart w:id="80" w:name="_Hlt26954842"/>
      <w:bookmarkEnd w:id="80"/>
      <w:bookmarkStart w:id="81" w:name="_Hlt26954844"/>
      <w:bookmarkEnd w:id="81"/>
      <w:r>
        <w:rPr>
          <w:rFonts w:hint="eastAsia" w:ascii="宋体" w:hAnsi="宋体" w:cs="宋体"/>
          <w:bCs/>
          <w:color w:val="000000" w:themeColor="text1"/>
          <w:sz w:val="24"/>
        </w:rPr>
        <w:t>13.6.1</w:t>
      </w:r>
      <w:r>
        <w:rPr>
          <w:rFonts w:hint="eastAsia" w:ascii="宋体" w:hAnsi="宋体" w:cs="宋体"/>
          <w:color w:val="000000" w:themeColor="text1"/>
          <w:sz w:val="24"/>
        </w:rPr>
        <w:t>项目总价：包括</w:t>
      </w:r>
      <w:r>
        <w:rPr>
          <w:rFonts w:hint="eastAsia" w:ascii="宋体" w:hAnsi="宋体" w:cs="宋体"/>
          <w:bCs/>
          <w:color w:val="000000" w:themeColor="text1"/>
          <w:sz w:val="24"/>
        </w:rPr>
        <w:t>买方需求的货物价格</w:t>
      </w:r>
      <w:r>
        <w:rPr>
          <w:rFonts w:hint="eastAsia" w:ascii="宋体" w:hAnsi="宋体" w:cs="宋体"/>
          <w:color w:val="000000" w:themeColor="text1"/>
          <w:sz w:val="24"/>
        </w:rPr>
        <w:t>、</w:t>
      </w:r>
      <w:r>
        <w:rPr>
          <w:rFonts w:hint="eastAsia" w:ascii="宋体" w:hAnsi="宋体" w:cs="宋体"/>
          <w:bCs/>
          <w:color w:val="000000" w:themeColor="text1"/>
          <w:sz w:val="24"/>
        </w:rPr>
        <w:t>质量保证费用、培训费用及售后服务费用，项目在指定地点、环境交付、安装、调试、验收所需费用和所有</w:t>
      </w:r>
      <w:r>
        <w:rPr>
          <w:rFonts w:hint="eastAsia" w:ascii="宋体" w:hAnsi="宋体" w:cs="宋体"/>
          <w:color w:val="000000" w:themeColor="text1"/>
          <w:sz w:val="24"/>
        </w:rPr>
        <w:t>相关税金费用</w:t>
      </w:r>
      <w:r>
        <w:rPr>
          <w:rFonts w:hint="eastAsia" w:ascii="宋体" w:hAnsi="宋体" w:cs="宋体"/>
          <w:bCs/>
          <w:color w:val="000000" w:themeColor="text1"/>
          <w:sz w:val="24"/>
        </w:rPr>
        <w:t>及为完成整个项目所产生的其它所有费用。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13.6.2项目单价按投标配置及分项报价表中要求填报。</w:t>
      </w:r>
      <w:bookmarkStart w:id="82" w:name="_Hlt26954846"/>
      <w:bookmarkEnd w:id="82"/>
      <w:bookmarkStart w:id="83" w:name="_Hlt26670482"/>
      <w:bookmarkEnd w:id="83"/>
      <w:bookmarkStart w:id="84" w:name="_Hlt26670486"/>
      <w:bookmarkEnd w:id="84"/>
      <w:bookmarkStart w:id="85" w:name="_Hlt26954731"/>
      <w:bookmarkEnd w:id="85"/>
      <w:bookmarkStart w:id="86" w:name="_Hlt26954848"/>
      <w:bookmarkEnd w:id="86"/>
    </w:p>
    <w:p>
      <w:pPr>
        <w:spacing w:line="440" w:lineRule="exact"/>
        <w:ind w:firstLine="560" w:firstLineChars="200"/>
        <w:rPr>
          <w:rFonts w:ascii="宋体" w:hAnsi="宋体" w:cs="宋体"/>
          <w:bCs/>
          <w:color w:val="000000" w:themeColor="text1"/>
          <w:sz w:val="24"/>
        </w:rPr>
      </w:pPr>
      <w:r>
        <w:rPr>
          <w:rFonts w:hint="eastAsia" w:ascii="宋体" w:hAnsi="宋体" w:cs="宋体"/>
          <w:bCs/>
          <w:color w:val="000000" w:themeColor="text1"/>
          <w:sz w:val="28"/>
          <w:szCs w:val="28"/>
        </w:rPr>
        <w:t>14</w:t>
      </w:r>
      <w:r>
        <w:rPr>
          <w:rFonts w:hint="eastAsia" w:ascii="宋体" w:hAnsi="宋体" w:cs="宋体"/>
          <w:b/>
          <w:bCs/>
          <w:color w:val="000000" w:themeColor="text1"/>
        </w:rPr>
        <w:t>、</w:t>
      </w:r>
      <w:r>
        <w:rPr>
          <w:rFonts w:hint="eastAsia" w:ascii="宋体" w:hAnsi="宋体" w:cs="宋体"/>
          <w:color w:val="000000" w:themeColor="text1"/>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lang w:val="zh-CN"/>
        </w:rPr>
      </w:pPr>
      <w:r>
        <w:rPr>
          <w:rFonts w:hint="eastAsia" w:ascii="宋体" w:hAnsi="宋体" w:cs="宋体"/>
          <w:bCs/>
          <w:color w:val="000000" w:themeColor="text1"/>
          <w:sz w:val="24"/>
          <w:lang w:val="zh-CN"/>
        </w:rPr>
        <w:t>14.1</w:t>
      </w:r>
      <w:r>
        <w:rPr>
          <w:rFonts w:hint="eastAsia" w:ascii="宋体" w:hAnsi="宋体" w:cs="宋体"/>
          <w:color w:val="000000" w:themeColor="text1"/>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ascii="宋体" w:hAnsi="宋体" w:cs="宋体"/>
          <w:bCs/>
          <w:color w:val="000000" w:themeColor="text1"/>
          <w:sz w:val="24"/>
          <w:lang w:val="zh-CN"/>
        </w:rPr>
      </w:pPr>
      <w:r>
        <w:rPr>
          <w:rFonts w:hint="eastAsia" w:ascii="宋体" w:hAnsi="宋体" w:cs="宋体"/>
          <w:bCs/>
          <w:color w:val="000000" w:themeColor="text1"/>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bCs/>
          <w:color w:val="000000" w:themeColor="text1"/>
          <w:sz w:val="24"/>
          <w:lang w:val="zh-CN"/>
        </w:rPr>
      </w:pPr>
      <w:r>
        <w:rPr>
          <w:rFonts w:hint="eastAsia" w:ascii="宋体" w:hAnsi="宋体" w:cs="宋体"/>
          <w:bCs/>
          <w:color w:val="000000" w:themeColor="text1"/>
          <w:sz w:val="24"/>
          <w:szCs w:val="24"/>
        </w:rPr>
        <w:t>15、1投标人的服务承诺应按不低于招标文件中商务要求的标准。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8"/>
        <w:spacing w:before="0" w:after="0" w:line="440" w:lineRule="exact"/>
        <w:ind w:firstLine="560" w:firstLineChars="200"/>
        <w:rPr>
          <w:rFonts w:ascii="宋体" w:hAnsi="宋体" w:eastAsia="宋体" w:cs="宋体"/>
          <w:b w:val="0"/>
          <w:bCs w:val="0"/>
          <w:color w:val="000000" w:themeColor="text1"/>
        </w:rPr>
      </w:pPr>
      <w:bookmarkStart w:id="87" w:name="_Toc14577359"/>
      <w:bookmarkStart w:id="88" w:name="_Toc49090510"/>
      <w:r>
        <w:rPr>
          <w:rFonts w:hint="eastAsia" w:ascii="宋体" w:hAnsi="宋体" w:eastAsia="宋体" w:cs="宋体"/>
          <w:b w:val="0"/>
          <w:bCs w:val="0"/>
          <w:color w:val="000000" w:themeColor="text1"/>
        </w:rPr>
        <w:t>16、投标函和开标一览表</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16.1</w:t>
      </w:r>
      <w:r>
        <w:rPr>
          <w:rFonts w:hint="eastAsia" w:ascii="宋体" w:hAnsi="宋体" w:cs="宋体"/>
          <w:color w:val="000000" w:themeColor="text1"/>
          <w:sz w:val="24"/>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rPr>
        <w:t>，但评标时按开标一览表中价格为准</w:t>
      </w:r>
      <w:r>
        <w:rPr>
          <w:rFonts w:hint="eastAsia" w:ascii="宋体" w:hAnsi="宋体" w:cs="宋体"/>
          <w:b/>
          <w:bCs/>
          <w:color w:val="000000" w:themeColor="text1"/>
          <w:sz w:val="24"/>
        </w:rPr>
        <w:t>。</w:t>
      </w:r>
    </w:p>
    <w:p>
      <w:pPr>
        <w:pStyle w:val="8"/>
        <w:spacing w:before="0" w:after="0" w:line="440" w:lineRule="exact"/>
        <w:ind w:firstLine="560" w:firstLineChars="200"/>
        <w:rPr>
          <w:rFonts w:ascii="宋体" w:hAnsi="宋体" w:eastAsia="宋体" w:cs="宋体"/>
          <w:b w:val="0"/>
          <w:bCs w:val="0"/>
          <w:color w:val="000000" w:themeColor="text1"/>
        </w:rPr>
      </w:pPr>
      <w:r>
        <w:rPr>
          <w:rFonts w:hint="eastAsia" w:ascii="宋体" w:hAnsi="宋体" w:eastAsia="宋体" w:cs="宋体"/>
          <w:b w:val="0"/>
          <w:bCs w:val="0"/>
          <w:color w:val="000000" w:themeColor="text1"/>
        </w:rPr>
        <w:t>17、投标保证金</w:t>
      </w:r>
      <w:bookmarkEnd w:id="87"/>
      <w:bookmarkEnd w:id="88"/>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17.1</w:t>
      </w:r>
      <w:r>
        <w:rPr>
          <w:rFonts w:hint="eastAsia" w:ascii="宋体" w:hAnsi="宋体" w:cs="宋体"/>
          <w:bCs/>
          <w:color w:val="000000" w:themeColor="text1"/>
          <w:sz w:val="24"/>
        </w:rPr>
        <w:t xml:space="preserve"> 投标人提交的投标保证金必须在投标截止时间前送达，并作为其投标的组成部分。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rPr>
        <w:t>17.2</w:t>
      </w:r>
      <w:r>
        <w:rPr>
          <w:rFonts w:hint="eastAsia" w:ascii="宋体" w:hAnsi="宋体" w:cs="宋体"/>
          <w:bCs/>
          <w:color w:val="000000" w:themeColor="text1"/>
          <w:sz w:val="24"/>
        </w:rPr>
        <w:t>在开标时，对于未按要求提交投标保证金的投标无效，</w:t>
      </w:r>
      <w:r>
        <w:rPr>
          <w:rFonts w:hint="eastAsia" w:ascii="宋体" w:hAnsi="宋体" w:cs="宋体"/>
          <w:color w:val="000000" w:themeColor="text1"/>
          <w:sz w:val="24"/>
        </w:rPr>
        <w:t>采购人或采购代理机构</w:t>
      </w:r>
      <w:r>
        <w:rPr>
          <w:rFonts w:hint="eastAsia" w:ascii="宋体" w:hAnsi="宋体" w:cs="宋体"/>
          <w:bCs/>
          <w:color w:val="000000" w:themeColor="text1"/>
          <w:sz w:val="24"/>
        </w:rPr>
        <w:t>拒绝接收其投标文件。</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未中标的投标人的投标保证金，将在中标通知书发出之日起5个工作内退还，不计利息。</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17.4</w:t>
      </w:r>
      <w:r>
        <w:rPr>
          <w:rFonts w:hint="eastAsia" w:ascii="宋体" w:hAnsi="宋体" w:cs="宋体"/>
          <w:bCs/>
          <w:color w:val="000000" w:themeColor="text1"/>
          <w:sz w:val="24"/>
        </w:rPr>
        <w:t>签订合同时，中标人须向采购人交纳履约保证金，于合同履行后无息退还。</w:t>
      </w:r>
    </w:p>
    <w:p>
      <w:pPr>
        <w:spacing w:line="440" w:lineRule="exact"/>
        <w:ind w:firstLine="482" w:firstLineChars="200"/>
        <w:rPr>
          <w:rFonts w:ascii="宋体" w:hAnsi="宋体" w:cs="宋体"/>
          <w:b/>
          <w:bCs/>
          <w:color w:val="000000" w:themeColor="text1"/>
          <w:sz w:val="24"/>
        </w:rPr>
      </w:pPr>
      <w:r>
        <w:rPr>
          <w:rFonts w:hint="eastAsia" w:ascii="宋体" w:hAnsi="宋体" w:cs="宋体"/>
          <w:b/>
          <w:color w:val="000000" w:themeColor="text1"/>
          <w:sz w:val="24"/>
        </w:rPr>
        <w:t>17.5</w:t>
      </w:r>
      <w:r>
        <w:rPr>
          <w:rFonts w:hint="eastAsia" w:ascii="宋体" w:hAnsi="宋体" w:cs="宋体"/>
          <w:b/>
          <w:bCs/>
          <w:color w:val="000000" w:themeColor="text1"/>
          <w:sz w:val="24"/>
        </w:rPr>
        <w:t xml:space="preserve"> 下列任何情况发生时，投标保证金将不予退还：</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（1）投标人在投标有效期内撤回其投标；</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（2）投标人提供的有关资料、资格证明文件被确认是不真实的；</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（3）投标人被证实有串通（包括但不限于统一哄抬价格等）或者欺诈行为；</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（4）投标人被证明有妨碍其他人公平竞争、损害</w:t>
      </w:r>
      <w:r>
        <w:rPr>
          <w:rFonts w:hint="eastAsia" w:ascii="宋体" w:hAnsi="宋体" w:cs="宋体"/>
          <w:color w:val="000000" w:themeColor="text1"/>
          <w:sz w:val="24"/>
        </w:rPr>
        <w:t>采购人或采购代理机构</w:t>
      </w:r>
      <w:r>
        <w:rPr>
          <w:rFonts w:hint="eastAsia" w:ascii="宋体" w:hAnsi="宋体" w:cs="宋体"/>
          <w:color w:val="000000" w:themeColor="text1"/>
          <w:sz w:val="24"/>
          <w:szCs w:val="24"/>
        </w:rPr>
        <w:t>或者其他投标人合法权益的；</w:t>
      </w:r>
    </w:p>
    <w:p>
      <w:pPr>
        <w:pStyle w:val="8"/>
        <w:spacing w:before="0" w:after="0" w:line="440" w:lineRule="exact"/>
        <w:ind w:firstLine="560" w:firstLineChars="200"/>
        <w:rPr>
          <w:rFonts w:ascii="宋体" w:hAnsi="宋体" w:eastAsia="宋体" w:cs="宋体"/>
          <w:b w:val="0"/>
          <w:bCs w:val="0"/>
          <w:color w:val="000000" w:themeColor="text1"/>
        </w:rPr>
      </w:pPr>
      <w:bookmarkStart w:id="89" w:name="_Hlt26670489"/>
      <w:bookmarkEnd w:id="89"/>
      <w:bookmarkStart w:id="90" w:name="_Hlt26954850"/>
      <w:bookmarkEnd w:id="90"/>
      <w:bookmarkStart w:id="91" w:name="_Hlt26954734"/>
      <w:bookmarkEnd w:id="91"/>
      <w:bookmarkStart w:id="92" w:name="_Toc49090511"/>
      <w:bookmarkStart w:id="93" w:name="_Toc14577360"/>
      <w:r>
        <w:rPr>
          <w:rFonts w:hint="eastAsia" w:ascii="宋体" w:hAnsi="宋体" w:eastAsia="宋体" w:cs="宋体"/>
          <w:b w:val="0"/>
          <w:bCs w:val="0"/>
          <w:color w:val="000000" w:themeColor="text1"/>
        </w:rPr>
        <w:t>18、投标有效期</w:t>
      </w:r>
      <w:bookmarkEnd w:id="92"/>
      <w:bookmarkEnd w:id="93"/>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18.1</w:t>
      </w:r>
      <w:r>
        <w:rPr>
          <w:rFonts w:hint="eastAsia" w:ascii="宋体" w:hAnsi="宋体" w:cs="宋体"/>
          <w:bCs/>
          <w:color w:val="000000" w:themeColor="text1"/>
          <w:sz w:val="24"/>
        </w:rPr>
        <w:t xml:space="preserve"> 投标有效期为规定的开标之日后</w:t>
      </w:r>
      <w:r>
        <w:rPr>
          <w:rFonts w:hint="eastAsia" w:ascii="宋体" w:hAnsi="宋体" w:cs="宋体"/>
          <w:b/>
          <w:color w:val="000000" w:themeColor="text1"/>
          <w:sz w:val="24"/>
          <w:u w:val="single"/>
        </w:rPr>
        <w:t>六十（60）天</w:t>
      </w:r>
      <w:r>
        <w:rPr>
          <w:rFonts w:hint="eastAsia" w:ascii="宋体" w:hAnsi="宋体" w:cs="宋体"/>
          <w:bCs/>
          <w:color w:val="000000" w:themeColor="text1"/>
          <w:sz w:val="24"/>
        </w:rPr>
        <w:t>。投标有效期比规定短的将被视为非响应性投标而予以拒绝。</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18.2</w:t>
      </w:r>
      <w:r>
        <w:rPr>
          <w:rFonts w:hint="eastAsia" w:ascii="宋体" w:hAnsi="宋体" w:cs="宋体"/>
          <w:bCs/>
          <w:color w:val="000000" w:themeColor="text1"/>
          <w:sz w:val="24"/>
        </w:rPr>
        <w:t xml:space="preserve"> 在特殊情况下，</w:t>
      </w:r>
      <w:r>
        <w:rPr>
          <w:rFonts w:hint="eastAsia" w:ascii="宋体" w:hAnsi="宋体" w:cs="宋体"/>
          <w:color w:val="000000" w:themeColor="text1"/>
          <w:sz w:val="24"/>
        </w:rPr>
        <w:t>采购人</w:t>
      </w:r>
      <w:r>
        <w:rPr>
          <w:rFonts w:hint="eastAsia" w:ascii="宋体" w:hAnsi="宋体" w:cs="宋体"/>
          <w:bCs/>
          <w:color w:val="000000" w:themeColor="text1"/>
          <w:sz w:val="24"/>
        </w:rPr>
        <w:t>于原投标有效期满之前，可向投标人提出延长投标有效期的要求。这种要求与答复均应采用书面形式。投标人可以拒绝</w:t>
      </w:r>
      <w:r>
        <w:rPr>
          <w:rFonts w:hint="eastAsia" w:ascii="宋体" w:hAnsi="宋体" w:cs="宋体"/>
          <w:color w:val="000000" w:themeColor="text1"/>
          <w:sz w:val="24"/>
        </w:rPr>
        <w:t>采购人</w:t>
      </w:r>
      <w:r>
        <w:rPr>
          <w:rFonts w:hint="eastAsia" w:ascii="宋体" w:hAnsi="宋体" w:cs="宋体"/>
          <w:bCs/>
          <w:color w:val="000000" w:themeColor="text1"/>
          <w:sz w:val="24"/>
        </w:rPr>
        <w:t>的这一要求而放弃投标，</w:t>
      </w:r>
      <w:r>
        <w:rPr>
          <w:rFonts w:hint="eastAsia" w:ascii="宋体" w:hAnsi="宋体" w:cs="宋体"/>
          <w:color w:val="000000" w:themeColor="text1"/>
          <w:sz w:val="24"/>
        </w:rPr>
        <w:t>采购人或采购代理机构</w:t>
      </w:r>
      <w:r>
        <w:rPr>
          <w:rFonts w:hint="eastAsia" w:ascii="宋体" w:hAnsi="宋体" w:cs="宋体"/>
          <w:color w:val="000000" w:themeColor="text1"/>
          <w:sz w:val="24"/>
          <w:szCs w:val="24"/>
        </w:rPr>
        <w:t>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rPr>
        <w:t>。</w:t>
      </w:r>
    </w:p>
    <w:p>
      <w:pPr>
        <w:pStyle w:val="8"/>
        <w:spacing w:before="0" w:after="0" w:line="440" w:lineRule="exact"/>
        <w:ind w:firstLine="560" w:firstLineChars="200"/>
        <w:rPr>
          <w:rFonts w:ascii="宋体" w:hAnsi="宋体" w:eastAsia="宋体" w:cs="宋体"/>
          <w:b w:val="0"/>
          <w:bCs w:val="0"/>
          <w:color w:val="000000" w:themeColor="text1"/>
        </w:rPr>
      </w:pPr>
      <w:bookmarkStart w:id="94" w:name="_Hlt26954852"/>
      <w:bookmarkEnd w:id="94"/>
      <w:bookmarkStart w:id="95" w:name="_Hlt26954739"/>
      <w:bookmarkEnd w:id="95"/>
      <w:bookmarkStart w:id="96" w:name="_Toc14577361"/>
      <w:bookmarkStart w:id="97" w:name="_Toc49090512"/>
      <w:r>
        <w:rPr>
          <w:rFonts w:hint="eastAsia" w:ascii="宋体" w:hAnsi="宋体" w:eastAsia="宋体" w:cs="宋体"/>
          <w:b w:val="0"/>
          <w:bCs w:val="0"/>
          <w:color w:val="000000" w:themeColor="text1"/>
        </w:rPr>
        <w:t>19、投标文件份数和签署</w:t>
      </w:r>
      <w:bookmarkEnd w:id="96"/>
      <w:bookmarkEnd w:id="97"/>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19.1</w:t>
      </w:r>
      <w:r>
        <w:rPr>
          <w:rFonts w:hint="eastAsia" w:ascii="宋体" w:hAnsi="宋体" w:cs="宋体"/>
          <w:bCs/>
          <w:color w:val="000000" w:themeColor="text1"/>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19.2投标文件正本中，</w:t>
      </w:r>
      <w:r>
        <w:rPr>
          <w:rFonts w:hint="eastAsia" w:ascii="宋体" w:hAnsi="宋体" w:cs="宋体"/>
          <w:bCs/>
          <w:color w:val="000000" w:themeColor="text1"/>
          <w:sz w:val="24"/>
        </w:rPr>
        <w:t>招标文件要求必须提供原件的按照要求提供，文</w:t>
      </w:r>
      <w:r>
        <w:rPr>
          <w:rFonts w:hint="eastAsia" w:ascii="宋体" w:hAnsi="宋体" w:cs="宋体"/>
          <w:color w:val="000000" w:themeColor="text1"/>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19.3</w:t>
      </w:r>
      <w:r>
        <w:rPr>
          <w:rFonts w:hint="eastAsia" w:ascii="宋体" w:hAnsi="宋体" w:cs="宋体"/>
          <w:bCs/>
          <w:color w:val="000000" w:themeColor="text1"/>
          <w:sz w:val="24"/>
        </w:rPr>
        <w:t xml:space="preserve"> 除投标人对错处做必要修改外，投标文件不得行间插字、涂改或增删。如有修改错漏处，必须由投标文件签署人签字或盖章。</w:t>
      </w:r>
    </w:p>
    <w:p>
      <w:pPr>
        <w:pStyle w:val="7"/>
        <w:spacing w:line="440" w:lineRule="exact"/>
        <w:ind w:firstLine="643" w:firstLineChars="200"/>
        <w:rPr>
          <w:rFonts w:ascii="宋体" w:hAnsi="宋体" w:cs="宋体"/>
          <w:color w:val="000000" w:themeColor="text1"/>
        </w:rPr>
      </w:pPr>
      <w:bookmarkStart w:id="98" w:name="_Toc513029224"/>
      <w:bookmarkStart w:id="99" w:name="_Toc20823296"/>
      <w:bookmarkStart w:id="100" w:name="_Toc120614217"/>
      <w:bookmarkStart w:id="101" w:name="_Toc16938540"/>
      <w:r>
        <w:rPr>
          <w:rFonts w:hint="eastAsia" w:ascii="宋体" w:hAnsi="宋体" w:cs="宋体"/>
          <w:color w:val="000000" w:themeColor="text1"/>
        </w:rPr>
        <w:t>四、投标文件的递交</w:t>
      </w:r>
      <w:bookmarkEnd w:id="98"/>
      <w:bookmarkEnd w:id="99"/>
      <w:bookmarkEnd w:id="100"/>
      <w:bookmarkEnd w:id="101"/>
    </w:p>
    <w:p>
      <w:pPr>
        <w:pStyle w:val="8"/>
        <w:spacing w:before="0" w:after="0" w:line="440" w:lineRule="exact"/>
        <w:ind w:firstLine="560" w:firstLineChars="200"/>
        <w:rPr>
          <w:rFonts w:ascii="宋体" w:hAnsi="宋体" w:eastAsia="宋体" w:cs="宋体"/>
          <w:b w:val="0"/>
          <w:bCs w:val="0"/>
          <w:color w:val="000000" w:themeColor="text1"/>
        </w:rPr>
      </w:pPr>
      <w:bookmarkStart w:id="102" w:name="_Toc462564084"/>
      <w:bookmarkStart w:id="103" w:name="_Toc16938541"/>
      <w:bookmarkStart w:id="104" w:name="_Toc513029225"/>
      <w:bookmarkStart w:id="105" w:name="_Toc20823297"/>
      <w:r>
        <w:rPr>
          <w:rFonts w:hint="eastAsia" w:ascii="宋体" w:hAnsi="宋体" w:eastAsia="宋体" w:cs="宋体"/>
          <w:b w:val="0"/>
          <w:bCs w:val="0"/>
          <w:color w:val="000000" w:themeColor="text1"/>
        </w:rPr>
        <w:t>20、投标文件的密封和标记</w:t>
      </w:r>
      <w:bookmarkEnd w:id="102"/>
      <w:bookmarkEnd w:id="103"/>
      <w:bookmarkEnd w:id="104"/>
      <w:bookmarkEnd w:id="105"/>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20.1</w:t>
      </w:r>
      <w:r>
        <w:rPr>
          <w:rFonts w:hint="eastAsia" w:ascii="宋体" w:hAnsi="宋体" w:cs="宋体"/>
          <w:bCs/>
          <w:color w:val="000000" w:themeColor="text1"/>
          <w:sz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20.2</w:t>
      </w:r>
      <w:r>
        <w:rPr>
          <w:rFonts w:hint="eastAsia" w:ascii="宋体" w:hAnsi="宋体" w:cs="宋体"/>
          <w:bCs/>
          <w:color w:val="000000" w:themeColor="text1"/>
          <w:sz w:val="24"/>
        </w:rPr>
        <w:t xml:space="preserve"> 密封的投标文件应：</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20.2.1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20.2.2  注明投标项目名称、标书编号及包号。</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20.2.3</w:t>
      </w:r>
      <w:r>
        <w:rPr>
          <w:rFonts w:hint="eastAsia" w:ascii="宋体" w:hAnsi="宋体" w:cs="宋体"/>
          <w:bCs/>
          <w:color w:val="000000" w:themeColor="text1"/>
          <w:sz w:val="24"/>
        </w:rPr>
        <w:t xml:space="preserve">  未按要求密封和加写标记，</w:t>
      </w:r>
      <w:r>
        <w:rPr>
          <w:rFonts w:hint="eastAsia" w:ascii="宋体" w:hAnsi="宋体" w:cs="宋体"/>
          <w:color w:val="000000" w:themeColor="text1"/>
          <w:sz w:val="24"/>
        </w:rPr>
        <w:t>采购人或采购代理机构</w:t>
      </w:r>
      <w:r>
        <w:rPr>
          <w:rFonts w:hint="eastAsia" w:ascii="宋体" w:hAnsi="宋体" w:cs="宋体"/>
          <w:bCs/>
          <w:color w:val="000000" w:themeColor="text1"/>
          <w:sz w:val="24"/>
        </w:rPr>
        <w:t>对误投或过早启封概不负责。对由此造成提前开封的投标文件，</w:t>
      </w:r>
      <w:r>
        <w:rPr>
          <w:rFonts w:hint="eastAsia" w:ascii="宋体" w:hAnsi="宋体" w:cs="宋体"/>
          <w:color w:val="000000" w:themeColor="text1"/>
          <w:sz w:val="24"/>
        </w:rPr>
        <w:t>采购人或采购代理机构</w:t>
      </w:r>
      <w:r>
        <w:rPr>
          <w:rFonts w:hint="eastAsia" w:ascii="宋体" w:hAnsi="宋体" w:cs="宋体"/>
          <w:bCs/>
          <w:color w:val="000000" w:themeColor="text1"/>
          <w:sz w:val="24"/>
        </w:rPr>
        <w:t>将予以拒绝，作无效投标处理。</w:t>
      </w:r>
    </w:p>
    <w:p>
      <w:pPr>
        <w:pStyle w:val="8"/>
        <w:spacing w:before="0" w:after="0" w:line="440" w:lineRule="exact"/>
        <w:ind w:firstLine="560" w:firstLineChars="200"/>
        <w:rPr>
          <w:rFonts w:ascii="宋体" w:hAnsi="宋体" w:eastAsia="宋体" w:cs="宋体"/>
          <w:b w:val="0"/>
          <w:bCs w:val="0"/>
          <w:color w:val="000000" w:themeColor="text1"/>
        </w:rPr>
      </w:pPr>
      <w:bookmarkStart w:id="106" w:name="_Toc513029226"/>
      <w:bookmarkStart w:id="107" w:name="_Toc16938542"/>
      <w:bookmarkStart w:id="108" w:name="_Toc20823298"/>
      <w:r>
        <w:rPr>
          <w:rFonts w:hint="eastAsia" w:ascii="宋体" w:hAnsi="宋体" w:eastAsia="宋体" w:cs="宋体"/>
          <w:b w:val="0"/>
          <w:bCs w:val="0"/>
          <w:color w:val="000000" w:themeColor="text1"/>
        </w:rPr>
        <w:t>21、投标截止日期</w:t>
      </w:r>
      <w:bookmarkEnd w:id="106"/>
      <w:bookmarkEnd w:id="107"/>
      <w:bookmarkEnd w:id="108"/>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21.1采购人或采购代理机构</w:t>
      </w:r>
      <w:r>
        <w:rPr>
          <w:rFonts w:hint="eastAsia" w:ascii="宋体" w:hAnsi="宋体" w:cs="宋体"/>
          <w:bCs/>
          <w:color w:val="000000" w:themeColor="text1"/>
          <w:sz w:val="24"/>
        </w:rPr>
        <w:t>收到投标文件的时间不得迟于招标公告中规定的截止时间。</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21.2采购人</w:t>
      </w:r>
      <w:r>
        <w:rPr>
          <w:rFonts w:hint="eastAsia" w:ascii="宋体" w:hAnsi="宋体" w:cs="宋体"/>
          <w:bCs/>
          <w:color w:val="000000" w:themeColor="text1"/>
          <w:sz w:val="24"/>
        </w:rPr>
        <w:t>有权通过修改招标文件酌情延长投标截止日期，在此情况下，投标人的所有权利和义务以及投标人受制的截止日期均应以延长后新的截止日期为准。</w:t>
      </w:r>
    </w:p>
    <w:p>
      <w:pPr>
        <w:pStyle w:val="8"/>
        <w:spacing w:before="0" w:after="0" w:line="440" w:lineRule="exact"/>
        <w:ind w:firstLine="560" w:firstLineChars="200"/>
        <w:rPr>
          <w:rFonts w:ascii="宋体" w:hAnsi="宋体" w:eastAsia="宋体" w:cs="宋体"/>
          <w:b w:val="0"/>
          <w:bCs w:val="0"/>
          <w:color w:val="000000" w:themeColor="text1"/>
        </w:rPr>
      </w:pPr>
      <w:bookmarkStart w:id="109" w:name="_Toc513029227"/>
      <w:bookmarkStart w:id="110" w:name="_Toc16938543"/>
      <w:bookmarkStart w:id="111" w:name="_Toc20823299"/>
      <w:r>
        <w:rPr>
          <w:rFonts w:hint="eastAsia" w:ascii="宋体" w:hAnsi="宋体" w:eastAsia="宋体" w:cs="宋体"/>
          <w:b w:val="0"/>
          <w:bCs w:val="0"/>
          <w:color w:val="000000" w:themeColor="text1"/>
        </w:rPr>
        <w:t>22、迟交的投标文件</w:t>
      </w:r>
      <w:bookmarkEnd w:id="109"/>
      <w:bookmarkEnd w:id="110"/>
      <w:bookmarkEnd w:id="111"/>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22.1采购人或采购代理机构</w:t>
      </w:r>
      <w:r>
        <w:rPr>
          <w:rFonts w:hint="eastAsia" w:ascii="宋体" w:hAnsi="宋体" w:cs="宋体"/>
          <w:bCs/>
          <w:color w:val="000000" w:themeColor="text1"/>
          <w:sz w:val="24"/>
        </w:rPr>
        <w:t>拒绝接收在其规定的投标截止时间后递交的任何投标文件。</w:t>
      </w:r>
    </w:p>
    <w:p>
      <w:pPr>
        <w:pStyle w:val="8"/>
        <w:spacing w:before="0" w:after="0" w:line="440" w:lineRule="exact"/>
        <w:ind w:firstLine="560" w:firstLineChars="200"/>
        <w:rPr>
          <w:rFonts w:ascii="宋体" w:hAnsi="宋体" w:eastAsia="宋体" w:cs="宋体"/>
          <w:b w:val="0"/>
          <w:bCs w:val="0"/>
          <w:color w:val="000000" w:themeColor="text1"/>
        </w:rPr>
      </w:pPr>
      <w:bookmarkStart w:id="112" w:name="_Toc20823300"/>
      <w:bookmarkStart w:id="113" w:name="_Toc513029228"/>
      <w:bookmarkStart w:id="114" w:name="_Toc16938544"/>
      <w:r>
        <w:rPr>
          <w:rFonts w:hint="eastAsia" w:ascii="宋体" w:hAnsi="宋体" w:eastAsia="宋体" w:cs="宋体"/>
          <w:b w:val="0"/>
          <w:bCs w:val="0"/>
          <w:color w:val="000000" w:themeColor="text1"/>
        </w:rPr>
        <w:t>23、投标文件的修改和撤回</w:t>
      </w:r>
      <w:bookmarkEnd w:id="112"/>
      <w:bookmarkEnd w:id="113"/>
      <w:bookmarkEnd w:id="114"/>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rPr>
        <w:t>23.1</w:t>
      </w:r>
      <w:r>
        <w:rPr>
          <w:rFonts w:hint="eastAsia" w:ascii="宋体" w:hAnsi="宋体" w:cs="宋体"/>
          <w:bCs/>
          <w:color w:val="000000" w:themeColor="text1"/>
          <w:sz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w:t>
      </w:r>
      <w:r>
        <w:rPr>
          <w:rFonts w:hint="eastAsia" w:ascii="宋体" w:hAnsi="宋体" w:cs="宋体"/>
          <w:color w:val="000000" w:themeColor="text1"/>
          <w:sz w:val="24"/>
        </w:rPr>
        <w:t>采购人</w:t>
      </w:r>
      <w:r>
        <w:rPr>
          <w:rFonts w:hint="eastAsia" w:ascii="宋体" w:hAnsi="宋体" w:cs="宋体"/>
          <w:color w:val="000000" w:themeColor="text1"/>
          <w:sz w:val="24"/>
          <w:szCs w:val="24"/>
        </w:rPr>
        <w:t>，修改或撤回其投标文件。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rPr>
        <w:t>23.2</w:t>
      </w:r>
      <w:r>
        <w:rPr>
          <w:rFonts w:hint="eastAsia" w:ascii="宋体" w:hAnsi="宋体" w:cs="宋体"/>
          <w:bCs/>
          <w:color w:val="000000" w:themeColor="text1"/>
          <w:sz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w:t>
      </w:r>
      <w:r>
        <w:rPr>
          <w:rFonts w:hint="eastAsia" w:ascii="宋体" w:hAnsi="宋体" w:cs="宋体"/>
          <w:color w:val="000000" w:themeColor="text1"/>
          <w:sz w:val="24"/>
        </w:rPr>
        <w:t>采购人或采购代理机构</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23.3</w:t>
      </w:r>
      <w:r>
        <w:rPr>
          <w:rFonts w:hint="eastAsia" w:ascii="宋体" w:hAnsi="宋体" w:cs="宋体"/>
          <w:bCs/>
          <w:color w:val="000000" w:themeColor="text1"/>
          <w:sz w:val="24"/>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23.4</w:t>
      </w:r>
      <w:r>
        <w:rPr>
          <w:rFonts w:hint="eastAsia" w:ascii="宋体" w:hAnsi="宋体" w:cs="宋体"/>
          <w:bCs/>
          <w:color w:val="000000" w:themeColor="text1"/>
          <w:sz w:val="24"/>
        </w:rPr>
        <w:t xml:space="preserve"> 在投标截止时间至招标文件中规定的投标有效期满之间的这段时间内，投标人不得撤回其投标，否则其投标保证金将不予退还。</w:t>
      </w:r>
    </w:p>
    <w:p>
      <w:pPr>
        <w:pStyle w:val="7"/>
        <w:spacing w:line="440" w:lineRule="exact"/>
        <w:ind w:firstLine="643" w:firstLineChars="200"/>
        <w:rPr>
          <w:rFonts w:ascii="宋体" w:hAnsi="宋体" w:cs="宋体"/>
          <w:color w:val="000000" w:themeColor="text1"/>
        </w:rPr>
      </w:pPr>
      <w:bookmarkStart w:id="115" w:name="_Toc513029229"/>
      <w:bookmarkStart w:id="116" w:name="_Toc20823301"/>
      <w:bookmarkStart w:id="117" w:name="_Toc120614218"/>
      <w:bookmarkStart w:id="118" w:name="_Toc16938545"/>
      <w:r>
        <w:rPr>
          <w:rFonts w:hint="eastAsia" w:ascii="宋体" w:hAnsi="宋体" w:cs="宋体"/>
          <w:color w:val="000000" w:themeColor="text1"/>
        </w:rPr>
        <w:t>五、开标与评标</w:t>
      </w:r>
      <w:bookmarkEnd w:id="115"/>
      <w:bookmarkEnd w:id="116"/>
      <w:bookmarkEnd w:id="117"/>
      <w:bookmarkEnd w:id="118"/>
    </w:p>
    <w:p>
      <w:pPr>
        <w:pStyle w:val="8"/>
        <w:spacing w:before="0" w:after="0" w:line="440" w:lineRule="exact"/>
        <w:ind w:firstLine="560" w:firstLineChars="200"/>
        <w:rPr>
          <w:rFonts w:ascii="宋体" w:hAnsi="宋体" w:eastAsia="宋体" w:cs="宋体"/>
          <w:b w:val="0"/>
          <w:bCs w:val="0"/>
          <w:color w:val="000000" w:themeColor="text1"/>
        </w:rPr>
      </w:pPr>
      <w:bookmarkStart w:id="119" w:name="_Toc513029230"/>
      <w:bookmarkStart w:id="120" w:name="_Toc16938546"/>
      <w:bookmarkStart w:id="121" w:name="_Toc20823302"/>
      <w:r>
        <w:rPr>
          <w:rFonts w:hint="eastAsia" w:ascii="宋体" w:hAnsi="宋体" w:eastAsia="宋体" w:cs="宋体"/>
          <w:b w:val="0"/>
          <w:bCs w:val="0"/>
          <w:color w:val="000000" w:themeColor="text1"/>
        </w:rPr>
        <w:t>24、开标</w:t>
      </w:r>
      <w:bookmarkEnd w:id="119"/>
      <w:bookmarkEnd w:id="120"/>
      <w:bookmarkEnd w:id="121"/>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rPr>
        <w:t>24.1采购人或采购代理机构</w:t>
      </w:r>
      <w:r>
        <w:rPr>
          <w:rFonts w:hint="eastAsia" w:ascii="宋体" w:hAnsi="宋体" w:cs="宋体"/>
          <w:bCs/>
          <w:color w:val="000000" w:themeColor="text1"/>
          <w:sz w:val="24"/>
        </w:rPr>
        <w:t>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24.2</w:t>
      </w:r>
      <w:r>
        <w:rPr>
          <w:rFonts w:hint="eastAsia" w:ascii="宋体" w:hAnsi="宋体" w:cs="宋体"/>
          <w:color w:val="000000" w:themeColor="text1"/>
          <w:sz w:val="24"/>
          <w:szCs w:val="24"/>
        </w:rPr>
        <w:t>开标仪式由采购人组织，采购人代表、公证员（必要时）、监管代表、投标人代表等参加。</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24.3</w:t>
      </w:r>
      <w:r>
        <w:rPr>
          <w:rFonts w:hint="eastAsia" w:ascii="宋体" w:hAnsi="宋体" w:cs="宋体"/>
          <w:bCs/>
          <w:color w:val="000000" w:themeColor="text1"/>
          <w:sz w:val="24"/>
        </w:rPr>
        <w:t>按照规定同意撤回的投标将不予开封。</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24.4 开标时请监委或投标人代表查验投标文件密封情况，确认无误后，</w:t>
      </w:r>
      <w:r>
        <w:rPr>
          <w:rFonts w:hint="eastAsia" w:ascii="宋体" w:hAnsi="宋体" w:cs="宋体"/>
          <w:color w:val="000000" w:themeColor="text1"/>
          <w:sz w:val="24"/>
        </w:rPr>
        <w:t>采购代理机构</w:t>
      </w:r>
      <w:r>
        <w:rPr>
          <w:rFonts w:hint="eastAsia" w:ascii="宋体" w:hAnsi="宋体" w:cs="宋体"/>
          <w:color w:val="000000" w:themeColor="text1"/>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24.5 采购人将指定专人负责开标记录并存档备查，各投标人需仔细核对开标记录相关内容并签字确认。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24.6 投标人在报价时不允许采用选择性报价，否则将被视为无效投标。</w:t>
      </w:r>
    </w:p>
    <w:p>
      <w:pPr>
        <w:pStyle w:val="8"/>
        <w:spacing w:before="0" w:after="0" w:line="440" w:lineRule="exact"/>
        <w:ind w:firstLine="560" w:firstLineChars="200"/>
        <w:rPr>
          <w:rFonts w:ascii="宋体" w:hAnsi="宋体" w:eastAsia="宋体" w:cs="宋体"/>
          <w:b w:val="0"/>
          <w:bCs w:val="0"/>
          <w:color w:val="000000" w:themeColor="text1"/>
        </w:rPr>
      </w:pPr>
      <w:bookmarkStart w:id="122" w:name="_Toc513029231"/>
      <w:bookmarkStart w:id="123" w:name="_Toc16938547"/>
      <w:bookmarkStart w:id="124" w:name="_Toc20823303"/>
      <w:r>
        <w:rPr>
          <w:rFonts w:hint="eastAsia" w:ascii="宋体" w:hAnsi="宋体" w:eastAsia="宋体" w:cs="宋体"/>
          <w:b w:val="0"/>
          <w:bCs w:val="0"/>
          <w:color w:val="000000" w:themeColor="text1"/>
        </w:rPr>
        <w:t>25、资格审查</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25.1依据法律法规和招标文件的规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合格投标人不足3家的，不得评标。</w:t>
      </w:r>
    </w:p>
    <w:p>
      <w:pPr>
        <w:pStyle w:val="8"/>
        <w:spacing w:before="0" w:after="0" w:line="440" w:lineRule="exact"/>
        <w:ind w:firstLine="560" w:firstLineChars="200"/>
        <w:rPr>
          <w:rFonts w:ascii="宋体" w:hAnsi="宋体" w:eastAsia="宋体" w:cs="宋体"/>
          <w:b w:val="0"/>
          <w:bCs w:val="0"/>
          <w:color w:val="000000" w:themeColor="text1"/>
        </w:rPr>
      </w:pPr>
      <w:r>
        <w:rPr>
          <w:rFonts w:hint="eastAsia" w:ascii="宋体" w:hAnsi="宋体" w:eastAsia="宋体" w:cs="宋体"/>
          <w:b w:val="0"/>
          <w:bCs w:val="0"/>
          <w:color w:val="000000" w:themeColor="text1"/>
        </w:rPr>
        <w:t>26、评标委员会</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26.1资格审查通过后，采购人将组织评标委员会（以下简称评委会）进行评标。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26.3评委会独立工作，负责评审所有投标文件并确定中标侯选人。</w:t>
      </w:r>
    </w:p>
    <w:p>
      <w:pPr>
        <w:pStyle w:val="8"/>
        <w:spacing w:before="0" w:after="0" w:line="440" w:lineRule="exact"/>
        <w:ind w:firstLine="560" w:firstLineChars="200"/>
        <w:rPr>
          <w:rFonts w:ascii="宋体" w:hAnsi="宋体" w:eastAsia="宋体" w:cs="宋体"/>
          <w:b w:val="0"/>
          <w:bCs w:val="0"/>
          <w:color w:val="000000" w:themeColor="text1"/>
        </w:rPr>
      </w:pPr>
      <w:r>
        <w:rPr>
          <w:rFonts w:hint="eastAsia" w:ascii="宋体" w:hAnsi="宋体" w:eastAsia="宋体" w:cs="宋体"/>
          <w:b w:val="0"/>
          <w:bCs w:val="0"/>
          <w:color w:val="000000" w:themeColor="text1"/>
        </w:rPr>
        <w:t>27、评标过程的保密与公正</w:t>
      </w:r>
    </w:p>
    <w:bookmarkEnd w:id="122"/>
    <w:bookmarkEnd w:id="123"/>
    <w:bookmarkEnd w:id="124"/>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27.1</w:t>
      </w:r>
      <w:r>
        <w:rPr>
          <w:rFonts w:hint="eastAsia" w:ascii="宋体" w:hAnsi="宋体" w:cs="宋体"/>
          <w:bCs/>
          <w:color w:val="000000" w:themeColor="text1"/>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rPr>
        <w:t>27.2</w:t>
      </w:r>
      <w:r>
        <w:rPr>
          <w:rFonts w:hint="eastAsia" w:ascii="宋体" w:hAnsi="宋体" w:cs="宋体"/>
          <w:color w:val="000000" w:themeColor="text1"/>
          <w:sz w:val="24"/>
          <w:szCs w:val="24"/>
        </w:rPr>
        <w:t>在评标过程中，投标人不得以任何行为影响评标过程，否则其投标文件将被作为无效投标文件。</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27.3在评标期间，采购人将设专门人员与投标人联系。</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27.4 采购人和评标委员会不向落标的投标人解释未中标原因，也不公布评标过程中的相关细节。</w:t>
      </w:r>
    </w:p>
    <w:p>
      <w:pPr>
        <w:spacing w:line="440" w:lineRule="exact"/>
        <w:ind w:firstLine="480" w:firstLineChars="200"/>
        <w:rPr>
          <w:rFonts w:ascii="宋体" w:hAnsi="宋体" w:cs="宋体"/>
          <w:color w:val="000000" w:themeColor="text1"/>
        </w:rPr>
      </w:pPr>
      <w:r>
        <w:rPr>
          <w:rFonts w:hint="eastAsia" w:ascii="宋体" w:hAnsi="宋体" w:cs="宋体"/>
          <w:bCs/>
          <w:color w:val="000000" w:themeColor="text1"/>
          <w:sz w:val="24"/>
        </w:rPr>
        <w:t>27.5 采用综合评分法的项目，未中标的投标人如需了解自己的评审得分及排序情况，可向采购人提出申请。</w:t>
      </w:r>
    </w:p>
    <w:p>
      <w:pPr>
        <w:pStyle w:val="8"/>
        <w:spacing w:before="0" w:after="0" w:line="440" w:lineRule="exact"/>
        <w:ind w:firstLine="560" w:firstLineChars="200"/>
        <w:rPr>
          <w:rFonts w:ascii="宋体" w:hAnsi="宋体" w:eastAsia="宋体" w:cs="宋体"/>
          <w:b w:val="0"/>
          <w:bCs w:val="0"/>
          <w:color w:val="000000" w:themeColor="text1"/>
        </w:rPr>
      </w:pPr>
      <w:bookmarkStart w:id="125" w:name="_Toc513029232"/>
      <w:bookmarkStart w:id="126" w:name="_Toc16938548"/>
      <w:bookmarkStart w:id="127" w:name="_Toc20823304"/>
      <w:r>
        <w:rPr>
          <w:rFonts w:hint="eastAsia" w:ascii="宋体" w:hAnsi="宋体" w:eastAsia="宋体" w:cs="宋体"/>
          <w:b w:val="0"/>
          <w:bCs w:val="0"/>
          <w:color w:val="000000" w:themeColor="text1"/>
        </w:rPr>
        <w:t>28、投标的澄清</w:t>
      </w:r>
      <w:bookmarkEnd w:id="125"/>
      <w:bookmarkEnd w:id="126"/>
      <w:bookmarkEnd w:id="127"/>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28.3 接到评委会澄清要求的投标人如未按规定做出澄清，其风险由投标人自行承担。</w:t>
      </w:r>
    </w:p>
    <w:p>
      <w:pPr>
        <w:pStyle w:val="8"/>
        <w:spacing w:before="0" w:after="0" w:line="440" w:lineRule="exact"/>
        <w:ind w:firstLine="560" w:firstLineChars="200"/>
        <w:rPr>
          <w:rFonts w:ascii="宋体" w:hAnsi="宋体" w:eastAsia="宋体" w:cs="宋体"/>
          <w:b w:val="0"/>
          <w:bCs w:val="0"/>
          <w:color w:val="000000" w:themeColor="text1"/>
        </w:rPr>
      </w:pPr>
      <w:bookmarkStart w:id="128" w:name="_Toc16938549"/>
      <w:bookmarkStart w:id="129" w:name="_Toc513029233"/>
      <w:bookmarkStart w:id="130" w:name="_Toc20823305"/>
      <w:r>
        <w:rPr>
          <w:rFonts w:hint="eastAsia" w:ascii="宋体" w:hAnsi="宋体" w:eastAsia="宋体" w:cs="宋体"/>
          <w:b w:val="0"/>
          <w:bCs w:val="0"/>
          <w:color w:val="000000" w:themeColor="text1"/>
        </w:rPr>
        <w:t>29、对投标文件的</w:t>
      </w:r>
      <w:bookmarkEnd w:id="128"/>
      <w:bookmarkEnd w:id="129"/>
      <w:bookmarkEnd w:id="130"/>
      <w:r>
        <w:rPr>
          <w:rFonts w:hint="eastAsia" w:ascii="宋体" w:hAnsi="宋体" w:eastAsia="宋体" w:cs="宋体"/>
          <w:b w:val="0"/>
          <w:bCs w:val="0"/>
          <w:color w:val="000000" w:themeColor="text1"/>
        </w:rPr>
        <w:t>评审</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29.1</w:t>
      </w:r>
      <w:r>
        <w:rPr>
          <w:rFonts w:hint="eastAsia" w:ascii="宋体" w:hAnsi="宋体" w:cs="宋体"/>
          <w:bCs/>
          <w:color w:val="000000" w:themeColor="text1"/>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rPr>
        <w:t>29.2</w:t>
      </w:r>
      <w:r>
        <w:rPr>
          <w:rFonts w:hint="eastAsia" w:ascii="宋体" w:hAnsi="宋体" w:cs="宋体"/>
          <w:color w:val="000000" w:themeColor="text1"/>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29.3</w:t>
      </w:r>
      <w:r>
        <w:rPr>
          <w:rFonts w:hint="eastAsia" w:ascii="宋体" w:hAnsi="宋体" w:cs="宋体"/>
          <w:bCs/>
          <w:color w:val="000000" w:themeColor="text1"/>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29.4评委会将对确定为实质性响应的投标进行进一步审核，看其是否有计算上或累加上的算术错误，修正错误的原则如下：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（1）投标文件中开标一览表内容与投标文件中相应内容不一致的，以开标一览表为准。</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（2）大写金额和小写金额不一致的，以大写金额为准。</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（3）单价金额小数点或者百分比有明显错位的，以开标一览表的总价为准，并修改单价。</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（4）总价金额与按单价汇总金额不一致的，以单价金额计算结果为准。</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同时出现两种以上错误的，按照前款规定的顺序修正。</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29.5评委会将按上述修正错误的方法调整投标文件中的投标报价，调整后的价格应对投标人具有约束力。如果投标人不接受修正后的价格，则其投标将被拒绝，其投标保证金不予退还。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29.6评委会将允许修正投标文件中不构成重大偏离的、微小的、非正规的、不一致的或不规则的地方，但这些修改不能影响任何投标人相应的名次排列。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29.7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rPr>
      </w:pPr>
      <w:r>
        <w:rPr>
          <w:rFonts w:hint="eastAsia" w:ascii="宋体" w:hAnsi="宋体" w:cs="宋体"/>
          <w:b/>
          <w:color w:val="000000" w:themeColor="text1"/>
          <w:sz w:val="24"/>
        </w:rPr>
        <w:t>非单一产品采购项目，</w:t>
      </w:r>
      <w:r>
        <w:rPr>
          <w:rFonts w:hint="eastAsia" w:ascii="宋体" w:hAnsi="宋体" w:cs="宋体"/>
          <w:color w:val="000000" w:themeColor="text1"/>
          <w:sz w:val="24"/>
        </w:rPr>
        <w:t>采购人根据采购项目技术构成、产品价格比重等合理确定核心产品，并在招标文件中载明。多家投标人提供的核心产品品牌相同的，按财政部第87号令第31条前两款规定处理。</w:t>
      </w:r>
    </w:p>
    <w:p>
      <w:pPr>
        <w:pStyle w:val="8"/>
        <w:spacing w:before="0" w:after="0" w:line="440" w:lineRule="exact"/>
        <w:ind w:firstLine="560" w:firstLineChars="200"/>
        <w:rPr>
          <w:rFonts w:ascii="宋体" w:hAnsi="宋体" w:eastAsia="宋体" w:cs="宋体"/>
          <w:b w:val="0"/>
          <w:bCs w:val="0"/>
          <w:color w:val="000000" w:themeColor="text1"/>
        </w:rPr>
      </w:pPr>
      <w:bookmarkStart w:id="131" w:name="_Toc20823306"/>
      <w:bookmarkStart w:id="132" w:name="_Toc16938550"/>
      <w:bookmarkStart w:id="133" w:name="_Toc513029234"/>
      <w:r>
        <w:rPr>
          <w:rFonts w:hint="eastAsia" w:ascii="宋体" w:hAnsi="宋体" w:eastAsia="宋体" w:cs="宋体"/>
          <w:b w:val="0"/>
          <w:bCs w:val="0"/>
          <w:color w:val="000000" w:themeColor="text1"/>
        </w:rPr>
        <w:t>30、</w:t>
      </w:r>
      <w:bookmarkEnd w:id="131"/>
      <w:bookmarkEnd w:id="132"/>
      <w:bookmarkEnd w:id="133"/>
      <w:r>
        <w:rPr>
          <w:rFonts w:hint="eastAsia" w:ascii="宋体" w:hAnsi="宋体" w:eastAsia="宋体" w:cs="宋体"/>
          <w:b w:val="0"/>
          <w:bCs w:val="0"/>
          <w:color w:val="000000" w:themeColor="text1"/>
        </w:rPr>
        <w:t>无效投标条款和废标条款</w:t>
      </w:r>
    </w:p>
    <w:p>
      <w:pPr>
        <w:spacing w:line="440" w:lineRule="exact"/>
        <w:ind w:firstLine="480" w:firstLineChars="200"/>
        <w:rPr>
          <w:rFonts w:ascii="宋体" w:hAnsi="宋体" w:cs="宋体"/>
          <w:bCs/>
          <w:color w:val="000000" w:themeColor="text1"/>
          <w:sz w:val="24"/>
        </w:rPr>
      </w:pPr>
      <w:bookmarkStart w:id="134" w:name="_Toc20823307"/>
      <w:bookmarkStart w:id="135" w:name="_Toc513029235"/>
      <w:bookmarkStart w:id="136" w:name="_Toc16938551"/>
      <w:r>
        <w:rPr>
          <w:rFonts w:hint="eastAsia" w:ascii="宋体" w:hAnsi="宋体" w:cs="宋体"/>
          <w:bCs/>
          <w:color w:val="000000" w:themeColor="text1"/>
          <w:sz w:val="24"/>
        </w:rPr>
        <w:t>30.1无效投标条款</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30.1.1未按要求交纳投标保证金的；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30.1.2未按照招标文件规定要求密封、签署、盖章的；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30.1.3投标人在报价时采用选择性报价；</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30.1.4投标人不具备招标文件中规定资格要求的；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30.1.5投标人的报价超过了采购预算</w:t>
      </w:r>
      <w:r>
        <w:rPr>
          <w:rFonts w:hint="eastAsia" w:ascii="宋体" w:hAnsi="宋体" w:cs="宋体"/>
          <w:color w:val="000000" w:themeColor="text1"/>
          <w:sz w:val="24"/>
          <w:szCs w:val="24"/>
        </w:rPr>
        <w:t>或最高限价</w:t>
      </w:r>
      <w:r>
        <w:rPr>
          <w:rFonts w:hint="eastAsia" w:ascii="宋体" w:hAnsi="宋体" w:cs="宋体"/>
          <w:bCs/>
          <w:color w:val="000000" w:themeColor="text1"/>
          <w:sz w:val="24"/>
        </w:rPr>
        <w:t>的；</w:t>
      </w:r>
    </w:p>
    <w:p>
      <w:pPr>
        <w:spacing w:line="440" w:lineRule="exact"/>
        <w:ind w:firstLine="480" w:firstLineChars="200"/>
        <w:rPr>
          <w:rFonts w:ascii="宋体" w:hAnsi="宋体" w:cs="宋体"/>
          <w:bCs/>
          <w:i/>
          <w:color w:val="000000" w:themeColor="text1"/>
          <w:sz w:val="24"/>
          <w:u w:val="single"/>
        </w:rPr>
      </w:pPr>
      <w:r>
        <w:rPr>
          <w:rFonts w:hint="eastAsia" w:ascii="宋体" w:hAnsi="宋体" w:cs="宋体"/>
          <w:bCs/>
          <w:color w:val="000000" w:themeColor="text1"/>
          <w:sz w:val="24"/>
        </w:rPr>
        <w:t>30.1.6未通过符合性检查的；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30.1.7不符合招标文件中规定的其他实质性要求和条件的；</w:t>
      </w:r>
    </w:p>
    <w:p>
      <w:pPr>
        <w:spacing w:line="44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30.1.7.1分包一其他无效投标情形包括：</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评分标准中投标人“技术参数”项得分低于15分的。</w:t>
      </w:r>
    </w:p>
    <w:p>
      <w:pPr>
        <w:spacing w:line="44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30.1.7.2分包二其他无效投标情形包括：</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①不符合招标文件中用带星号（“★”）的商务和技术要求的；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②投标人所投所有产品技术参数与招标文件第四章4.2分包二 “技术规格、参数及服务要求”中标注“▲”技术参数要求相比较，超过5项负偏离的；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③投标人所投所有产品技术参数与招标文件第四章4.2分包二 “技术规格、参数及服务要求”中未标注“★”与“▲”技术参数要求相比较，超过10项负偏离的；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④评分标准中投标人 “技术响应”得分低于5分的。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30.1.8 投标人串通投标；</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30.1.9  投标文件含有采购人不能接受的附加条件的；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30.1.11其他法律、法规及本招标文件规定的属无效投标的情形。</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30.2废标条款：                                                                                                                                                                                                                                                                                                                                                                                                                                                                                                                                                                                                                                                                                                                                                                                                                                                                                                                                                                                                                                                                                                                                                                                                                                                                                                                                                                                                                                                                         </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30.2.2出现影响采购公正的违法、违规行为的；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30.2.3因重大变故，采购任务取消的；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30.2.4评标委员会认定招标文件存在歧义、 重大缺陷导致评审工作无法进行。</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30.3 投标截止时间结束后参加投标的供应商不足三家的处理：</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30.3.1如出现投标截止时间结束后参加投标的供应商或者在评标期间对招标文件做出实质响应的供应商不足三家情况，按财政部第87号令第43条的规定执行。</w:t>
      </w:r>
    </w:p>
    <w:p>
      <w:pPr>
        <w:pStyle w:val="7"/>
        <w:spacing w:line="440" w:lineRule="exact"/>
        <w:ind w:firstLine="643" w:firstLineChars="200"/>
        <w:rPr>
          <w:rFonts w:ascii="宋体" w:hAnsi="宋体" w:cs="宋体"/>
          <w:color w:val="000000" w:themeColor="text1"/>
        </w:rPr>
      </w:pPr>
      <w:bookmarkStart w:id="137" w:name="_Toc120614219"/>
      <w:r>
        <w:rPr>
          <w:rFonts w:hint="eastAsia" w:ascii="宋体" w:hAnsi="宋体" w:cs="宋体"/>
          <w:color w:val="000000" w:themeColor="text1"/>
        </w:rPr>
        <w:t>六、</w:t>
      </w:r>
      <w:bookmarkEnd w:id="134"/>
      <w:bookmarkEnd w:id="135"/>
      <w:bookmarkEnd w:id="136"/>
      <w:r>
        <w:rPr>
          <w:rFonts w:hint="eastAsia" w:ascii="宋体" w:hAnsi="宋体" w:cs="宋体"/>
          <w:color w:val="000000" w:themeColor="text1"/>
        </w:rPr>
        <w:t>定标</w:t>
      </w:r>
      <w:bookmarkEnd w:id="137"/>
    </w:p>
    <w:p>
      <w:pPr>
        <w:pStyle w:val="8"/>
        <w:spacing w:before="0" w:after="0" w:line="440" w:lineRule="exact"/>
        <w:ind w:firstLine="600" w:firstLineChars="200"/>
        <w:rPr>
          <w:rFonts w:ascii="宋体" w:hAnsi="宋体" w:eastAsia="宋体" w:cs="宋体"/>
          <w:b w:val="0"/>
          <w:color w:val="000000" w:themeColor="text1"/>
          <w:sz w:val="30"/>
          <w:szCs w:val="30"/>
        </w:rPr>
      </w:pPr>
      <w:bookmarkStart w:id="138" w:name="_Toc513029238"/>
      <w:bookmarkStart w:id="139" w:name="_Toc16938554"/>
      <w:bookmarkStart w:id="140" w:name="_Toc20823310"/>
      <w:r>
        <w:rPr>
          <w:rFonts w:hint="eastAsia" w:ascii="宋体" w:hAnsi="宋体" w:eastAsia="宋体" w:cs="宋体"/>
          <w:b w:val="0"/>
          <w:color w:val="000000" w:themeColor="text1"/>
          <w:sz w:val="30"/>
          <w:szCs w:val="30"/>
        </w:rPr>
        <w:t>31、</w:t>
      </w:r>
      <w:bookmarkEnd w:id="138"/>
      <w:r>
        <w:rPr>
          <w:rFonts w:hint="eastAsia" w:ascii="宋体" w:hAnsi="宋体" w:eastAsia="宋体" w:cs="宋体"/>
          <w:b w:val="0"/>
          <w:color w:val="000000" w:themeColor="text1"/>
          <w:sz w:val="30"/>
          <w:szCs w:val="30"/>
        </w:rPr>
        <w:t>确定</w:t>
      </w:r>
      <w:bookmarkEnd w:id="139"/>
      <w:bookmarkEnd w:id="140"/>
      <w:r>
        <w:rPr>
          <w:rFonts w:hint="eastAsia" w:ascii="宋体" w:hAnsi="宋体" w:eastAsia="宋体" w:cs="宋体"/>
          <w:b w:val="0"/>
          <w:color w:val="000000" w:themeColor="text1"/>
          <w:sz w:val="30"/>
          <w:szCs w:val="30"/>
        </w:rPr>
        <w:t>中标单位</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31.2 采购人应根据评委会推荐的中标候选人确定中标供应商。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31.3</w:t>
      </w:r>
      <w:r>
        <w:rPr>
          <w:rFonts w:hint="eastAsia" w:ascii="宋体" w:hAnsi="宋体" w:cs="宋体"/>
          <w:color w:val="000000" w:themeColor="text1"/>
          <w:sz w:val="24"/>
          <w:szCs w:val="24"/>
        </w:rPr>
        <w:t>采购人将在</w:t>
      </w:r>
      <w:r>
        <w:rPr>
          <w:rFonts w:hint="eastAsia" w:ascii="宋体" w:hAnsi="宋体" w:cs="宋体"/>
          <w:bCs/>
          <w:color w:val="000000" w:themeColor="text1"/>
          <w:sz w:val="24"/>
        </w:rPr>
        <w:t>“盐城市政府采购网”和“盐城工业职业技术学院招标采购网”</w:t>
      </w:r>
      <w:r>
        <w:rPr>
          <w:rFonts w:hint="eastAsia" w:ascii="宋体" w:hAnsi="宋体" w:cs="宋体"/>
          <w:color w:val="000000" w:themeColor="text1"/>
          <w:sz w:val="24"/>
          <w:szCs w:val="24"/>
        </w:rPr>
        <w:t>发布中标公告，公告期限为1个工作日。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31.4.1提供虚假材料谋取中标的；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31.4.2向采购人行贿或者提供其他不正当利益的；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31.4.5与采购人或者其他供应商恶意串通的；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31.4.6采取不正当手段诋毁、排挤其他供应商的；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31.4.7不符合法律、法规的规定的。</w:t>
      </w:r>
      <w:bookmarkStart w:id="141" w:name="_Toc200451960"/>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31.5有下列情形之一的，视为投标人串通投标，投标无效：</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31.5.5不同投标人的投标文件相互混装。</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31.5.6不同投标人的投标保证金从同一单位或者个人的账户转出。</w:t>
      </w:r>
    </w:p>
    <w:p>
      <w:pPr>
        <w:pStyle w:val="8"/>
        <w:spacing w:before="0" w:after="0" w:line="440" w:lineRule="exact"/>
        <w:ind w:firstLine="600" w:firstLineChars="200"/>
        <w:rPr>
          <w:rFonts w:ascii="宋体" w:hAnsi="宋体" w:eastAsia="宋体" w:cs="宋体"/>
          <w:b w:val="0"/>
          <w:color w:val="000000" w:themeColor="text1"/>
          <w:sz w:val="30"/>
          <w:szCs w:val="30"/>
        </w:rPr>
      </w:pPr>
      <w:r>
        <w:rPr>
          <w:rFonts w:hint="eastAsia" w:ascii="宋体" w:hAnsi="宋体" w:eastAsia="宋体" w:cs="宋体"/>
          <w:b w:val="0"/>
          <w:color w:val="000000" w:themeColor="text1"/>
          <w:sz w:val="30"/>
          <w:szCs w:val="30"/>
        </w:rPr>
        <w:t>32、质疑处理</w:t>
      </w:r>
      <w:bookmarkEnd w:id="141"/>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32.1参加投标人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32.1.1</w:t>
      </w:r>
      <w:r>
        <w:rPr>
          <w:rFonts w:hint="eastAsia" w:ascii="宋体" w:hAnsi="宋体" w:cs="宋体"/>
          <w:color w:val="000000" w:themeColor="text1"/>
          <w:kern w:val="0"/>
          <w:sz w:val="24"/>
          <w:szCs w:val="24"/>
        </w:rPr>
        <w:t>对可以质疑的招标文件提出质疑的，为收到招标文件之日或者招标文件公告期限届满之日；</w:t>
      </w:r>
      <w:r>
        <w:rPr>
          <w:rFonts w:hint="eastAsia"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32.1.2</w:t>
      </w:r>
      <w:r>
        <w:rPr>
          <w:rFonts w:hint="eastAsia" w:ascii="宋体" w:hAnsi="宋体" w:cs="宋体"/>
          <w:color w:val="000000" w:themeColor="text1"/>
          <w:kern w:val="0"/>
          <w:sz w:val="24"/>
          <w:szCs w:val="24"/>
        </w:rPr>
        <w:t>对采购过程提出质疑的，为各采购程序环节结束之日；</w:t>
      </w:r>
      <w:r>
        <w:rPr>
          <w:rFonts w:hint="eastAsia" w:ascii="宋体" w:hAnsi="宋体" w:cs="宋体"/>
          <w:color w:val="000000" w:themeColor="text1"/>
          <w:kern w:val="0"/>
          <w:sz w:val="24"/>
          <w:szCs w:val="24"/>
        </w:rPr>
        <w:br w:type="textWrapping"/>
      </w:r>
      <w:r>
        <w:rPr>
          <w:rFonts w:hint="eastAsia" w:ascii="宋体" w:hAnsi="宋体" w:cs="宋体"/>
          <w:color w:val="000000" w:themeColor="text1"/>
          <w:sz w:val="24"/>
          <w:szCs w:val="24"/>
        </w:rPr>
        <w:t>　　32.1.3对中标结果提出质疑的，为中标结果公告期限届满之日。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质疑必须按《政府采购法》、《政府采购法实施条例》及《江苏省政府采购供应商监督管理暂行办法》的相关规定提交，未按上述要求提交的质疑函（含传真、电子邮件等）采购人或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32.4质疑函应当包括下列内容：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32.4.1质疑投标人的名称、地址、邮编、联系人、联系电话；</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32.4.2具体的质疑事项及明确的请求；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32.4.4提起质疑的日期；</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32.4.5质疑函应当署名：质疑人为自然人的，应当由本人签字并附有效身份证明；质疑人为法人或其他组织的，应当由法定代表人签字并加盖单位公章。未按要求签字和盖章的为无效质疑，采购人或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32.7对于内容、格式符合规定的质疑函，采购人应当在收到投标人的书面质疑后七个工作日内作出答复，并以书面形式通知质疑供应商和其他有关供应商，但答复的内容不得涉及商业秘密。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32.8投标人提出书面质疑必须有理、有据，不得恶意质疑或提交虚假质疑。否则，一经查实，采购人有权依据政府采购的有关规定，报请政府采购监管部门对该投标人进行相应的行政处罚，并扣减其诚信记录分。</w:t>
      </w:r>
    </w:p>
    <w:p>
      <w:pPr>
        <w:pStyle w:val="8"/>
        <w:spacing w:before="0" w:after="0" w:line="440" w:lineRule="exact"/>
        <w:ind w:firstLine="600" w:firstLineChars="200"/>
        <w:rPr>
          <w:rFonts w:ascii="宋体" w:hAnsi="宋体" w:eastAsia="宋体" w:cs="宋体"/>
          <w:b w:val="0"/>
          <w:color w:val="000000" w:themeColor="text1"/>
          <w:sz w:val="30"/>
          <w:szCs w:val="30"/>
        </w:rPr>
      </w:pPr>
      <w:r>
        <w:rPr>
          <w:rFonts w:hint="eastAsia" w:ascii="宋体" w:hAnsi="宋体" w:eastAsia="宋体" w:cs="宋体"/>
          <w:b w:val="0"/>
          <w:color w:val="000000" w:themeColor="text1"/>
          <w:sz w:val="30"/>
          <w:szCs w:val="30"/>
        </w:rPr>
        <w:t>33、中标通知书</w:t>
      </w:r>
    </w:p>
    <w:p>
      <w:pPr>
        <w:snapToGrid w:val="0"/>
        <w:spacing w:line="440" w:lineRule="exact"/>
        <w:ind w:firstLine="480" w:firstLineChars="200"/>
        <w:rPr>
          <w:rFonts w:ascii="宋体" w:hAnsi="宋体" w:cs="宋体"/>
          <w:color w:val="000000" w:themeColor="text1"/>
          <w:sz w:val="24"/>
          <w:szCs w:val="24"/>
        </w:rPr>
      </w:pPr>
      <w:bookmarkStart w:id="142" w:name="_Toc120614220"/>
      <w:bookmarkStart w:id="143" w:name="_Toc513029236"/>
      <w:bookmarkStart w:id="144" w:name="_Toc16938552"/>
      <w:bookmarkStart w:id="145" w:name="_Toc20823308"/>
      <w:r>
        <w:rPr>
          <w:rFonts w:hint="eastAsia" w:ascii="宋体" w:hAnsi="宋体" w:cs="宋体"/>
          <w:color w:val="000000" w:themeColor="text1"/>
          <w:sz w:val="24"/>
          <w:szCs w:val="24"/>
        </w:rPr>
        <w:t>33.1中标结果确定后，采购人将向中标供应商发出中标通知书。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33.2中标通知书将是合同的一个组成部分。对采购人和中标供应商均具有法律效力。中标通知书发出后，采购人改变中标结果的，或者中标供应商放弃中标项目的，应当依法承担法律责任。</w:t>
      </w:r>
    </w:p>
    <w:p>
      <w:pPr>
        <w:pStyle w:val="7"/>
        <w:spacing w:line="440" w:lineRule="exact"/>
        <w:ind w:firstLine="643" w:firstLineChars="200"/>
        <w:rPr>
          <w:rFonts w:ascii="宋体" w:hAnsi="宋体" w:cs="宋体"/>
          <w:color w:val="000000" w:themeColor="text1"/>
        </w:rPr>
      </w:pPr>
      <w:r>
        <w:rPr>
          <w:rFonts w:hint="eastAsia" w:ascii="宋体" w:hAnsi="宋体" w:cs="宋体"/>
          <w:color w:val="000000" w:themeColor="text1"/>
        </w:rPr>
        <w:t>七、合同</w:t>
      </w:r>
      <w:bookmarkEnd w:id="142"/>
      <w:r>
        <w:rPr>
          <w:rFonts w:hint="eastAsia" w:ascii="宋体" w:hAnsi="宋体" w:cs="宋体"/>
          <w:color w:val="000000" w:themeColor="text1"/>
        </w:rPr>
        <w:t>签订相关事项</w:t>
      </w:r>
    </w:p>
    <w:bookmarkEnd w:id="143"/>
    <w:bookmarkEnd w:id="144"/>
    <w:bookmarkEnd w:id="145"/>
    <w:p>
      <w:pPr>
        <w:pStyle w:val="8"/>
        <w:spacing w:before="0" w:after="0" w:line="440" w:lineRule="exact"/>
        <w:ind w:firstLine="600" w:firstLineChars="200"/>
        <w:rPr>
          <w:rFonts w:ascii="宋体" w:hAnsi="宋体" w:eastAsia="宋体" w:cs="宋体"/>
          <w:b w:val="0"/>
          <w:color w:val="000000" w:themeColor="text1"/>
          <w:sz w:val="30"/>
          <w:szCs w:val="30"/>
        </w:rPr>
      </w:pPr>
      <w:bookmarkStart w:id="146" w:name="_Toc16938553"/>
      <w:bookmarkStart w:id="147" w:name="_Toc20823309"/>
      <w:bookmarkStart w:id="148" w:name="_Toc513029237"/>
      <w:r>
        <w:rPr>
          <w:rFonts w:hint="eastAsia" w:ascii="宋体" w:hAnsi="宋体" w:eastAsia="宋体" w:cs="宋体"/>
          <w:b w:val="0"/>
          <w:color w:val="000000" w:themeColor="text1"/>
          <w:sz w:val="30"/>
          <w:szCs w:val="30"/>
        </w:rPr>
        <w:t>34. 签订合同</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34</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如出现另一分包没有中标人，则合同签订时间可顺延至该分包产生中标人之日起三十日内），否则投标保证金将不予退还，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8"/>
        <w:spacing w:before="0" w:after="0" w:line="440" w:lineRule="exact"/>
        <w:ind w:firstLine="600" w:firstLineChars="200"/>
        <w:rPr>
          <w:rFonts w:ascii="宋体" w:hAnsi="宋体" w:eastAsia="宋体" w:cs="宋体"/>
          <w:b w:val="0"/>
          <w:color w:val="000000" w:themeColor="text1"/>
          <w:sz w:val="30"/>
          <w:szCs w:val="30"/>
        </w:rPr>
      </w:pPr>
      <w:r>
        <w:rPr>
          <w:rFonts w:hint="eastAsia" w:ascii="宋体" w:hAnsi="宋体" w:eastAsia="宋体" w:cs="宋体"/>
          <w:b w:val="0"/>
          <w:color w:val="000000" w:themeColor="text1"/>
          <w:sz w:val="30"/>
          <w:szCs w:val="30"/>
        </w:rPr>
        <w:t>35、货物和服务的追加、减少和添购。</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35.3 中标方在安装、调试其提供的货物及服务过程中必需的工具、辅助设备、设施等（采购清单之外）以及相关人员劳务不属于追加和添购事项，也不属于漏项，中标方确认与此相关的该等费用已包括在本合同总价中。</w:t>
      </w:r>
    </w:p>
    <w:bookmarkEnd w:id="146"/>
    <w:bookmarkEnd w:id="147"/>
    <w:bookmarkEnd w:id="148"/>
    <w:p>
      <w:pPr>
        <w:tabs>
          <w:tab w:val="left" w:pos="900"/>
        </w:tabs>
        <w:spacing w:line="440" w:lineRule="exact"/>
        <w:ind w:firstLine="600" w:firstLineChars="200"/>
        <w:rPr>
          <w:rFonts w:ascii="宋体" w:hAnsi="宋体" w:cs="宋体"/>
          <w:bCs/>
          <w:color w:val="000000" w:themeColor="text1"/>
          <w:sz w:val="30"/>
          <w:szCs w:val="30"/>
        </w:rPr>
      </w:pPr>
      <w:bookmarkStart w:id="149" w:name="_Toc479757207"/>
      <w:bookmarkStart w:id="150" w:name="_Toc513029242"/>
      <w:bookmarkStart w:id="151" w:name="_Toc16938558"/>
      <w:bookmarkStart w:id="152" w:name="_Toc20823314"/>
      <w:bookmarkStart w:id="153" w:name="_Toc120614221"/>
      <w:r>
        <w:rPr>
          <w:rFonts w:hint="eastAsia" w:ascii="宋体" w:hAnsi="宋体" w:cs="宋体"/>
          <w:bCs/>
          <w:color w:val="000000" w:themeColor="text1"/>
          <w:sz w:val="30"/>
          <w:szCs w:val="30"/>
        </w:rPr>
        <w:t>36、履约保证金</w:t>
      </w:r>
    </w:p>
    <w:p>
      <w:pPr>
        <w:tabs>
          <w:tab w:val="left" w:pos="900"/>
        </w:tabs>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000000" w:themeColor="text1"/>
          <w:sz w:val="24"/>
        </w:rPr>
      </w:pPr>
    </w:p>
    <w:p>
      <w:pPr>
        <w:pStyle w:val="4"/>
        <w:rPr>
          <w:rFonts w:ascii="宋体" w:hAnsi="宋体" w:eastAsia="宋体" w:cs="宋体"/>
          <w:b/>
          <w:color w:val="000000" w:themeColor="text1"/>
          <w:sz w:val="44"/>
        </w:rPr>
      </w:pPr>
      <w:r>
        <w:rPr>
          <w:rFonts w:hint="eastAsia" w:ascii="宋体" w:hAnsi="宋体" w:eastAsia="宋体" w:cs="宋体"/>
          <w:b/>
          <w:color w:val="000000" w:themeColor="text1"/>
          <w:sz w:val="44"/>
        </w:rPr>
        <w:br w:type="page"/>
      </w:r>
      <w:bookmarkStart w:id="154" w:name="_Toc18481236"/>
      <w:r>
        <w:rPr>
          <w:rFonts w:hint="eastAsia" w:ascii="宋体" w:hAnsi="宋体" w:eastAsia="宋体" w:cs="宋体"/>
          <w:b/>
          <w:color w:val="000000" w:themeColor="text1"/>
          <w:sz w:val="44"/>
          <w:szCs w:val="44"/>
        </w:rPr>
        <w:t>第三章  合同条款及</w:t>
      </w:r>
      <w:bookmarkEnd w:id="149"/>
      <w:bookmarkEnd w:id="150"/>
      <w:bookmarkEnd w:id="151"/>
      <w:bookmarkEnd w:id="152"/>
      <w:bookmarkEnd w:id="153"/>
      <w:r>
        <w:rPr>
          <w:rFonts w:hint="eastAsia" w:ascii="宋体" w:hAnsi="宋体" w:eastAsia="宋体" w:cs="宋体"/>
          <w:b/>
          <w:color w:val="000000" w:themeColor="text1"/>
          <w:sz w:val="44"/>
          <w:szCs w:val="44"/>
        </w:rPr>
        <w:t>格式</w:t>
      </w:r>
      <w:bookmarkEnd w:id="154"/>
    </w:p>
    <w:p>
      <w:pPr>
        <w:pStyle w:val="7"/>
        <w:spacing w:line="460" w:lineRule="exact"/>
        <w:jc w:val="center"/>
        <w:rPr>
          <w:rFonts w:ascii="宋体" w:hAnsi="宋体" w:cs="宋体"/>
          <w:color w:val="000000" w:themeColor="text1"/>
        </w:rPr>
      </w:pPr>
      <w:bookmarkStart w:id="155" w:name="_Toc20823315"/>
      <w:bookmarkStart w:id="156" w:name="_Toc513029243"/>
      <w:bookmarkStart w:id="157" w:name="_Toc16938559"/>
    </w:p>
    <w:bookmarkEnd w:id="155"/>
    <w:bookmarkEnd w:id="156"/>
    <w:bookmarkEnd w:id="157"/>
    <w:p>
      <w:pPr>
        <w:spacing w:line="460" w:lineRule="exact"/>
        <w:ind w:firstLine="480" w:firstLineChars="200"/>
        <w:rPr>
          <w:rFonts w:ascii="宋体" w:hAnsi="宋体" w:cs="宋体"/>
          <w:bCs/>
          <w:color w:val="000000" w:themeColor="text1"/>
          <w:sz w:val="24"/>
        </w:rPr>
      </w:pPr>
      <w:bookmarkStart w:id="158" w:name="_Hlt16619350"/>
      <w:bookmarkStart w:id="159" w:name="_Toc120614244"/>
      <w:bookmarkStart w:id="160" w:name="_Toc16938590"/>
      <w:bookmarkStart w:id="161" w:name="_Toc20823346"/>
      <w:bookmarkStart w:id="162" w:name="_Toc462564139"/>
      <w:bookmarkStart w:id="163" w:name="_Toc479757211"/>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60" w:lineRule="exact"/>
        <w:ind w:firstLine="602" w:firstLineChars="200"/>
        <w:jc w:val="center"/>
        <w:outlineLvl w:val="0"/>
        <w:rPr>
          <w:rFonts w:ascii="宋体" w:hAnsi="宋体" w:cs="宋体"/>
          <w:b/>
          <w:color w:val="000000" w:themeColor="text1"/>
          <w:sz w:val="30"/>
        </w:rPr>
      </w:pPr>
    </w:p>
    <w:p>
      <w:pPr>
        <w:spacing w:line="460" w:lineRule="exact"/>
        <w:jc w:val="center"/>
        <w:rPr>
          <w:rFonts w:ascii="宋体" w:hAnsi="宋体" w:cs="宋体"/>
          <w:b/>
          <w:bCs/>
          <w:color w:val="000000" w:themeColor="text1"/>
          <w:sz w:val="30"/>
          <w:szCs w:val="30"/>
        </w:rPr>
      </w:pPr>
      <w:r>
        <w:rPr>
          <w:rFonts w:hint="eastAsia" w:ascii="宋体" w:hAnsi="宋体" w:cs="宋体"/>
          <w:b/>
          <w:color w:val="000000" w:themeColor="text1"/>
          <w:sz w:val="30"/>
          <w:szCs w:val="30"/>
        </w:rPr>
        <w:t>政府采购合同</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项目名称：</w:t>
      </w:r>
      <w:r>
        <w:rPr>
          <w:rFonts w:hint="eastAsia" w:hAnsi="宋体" w:cs="宋体"/>
          <w:color w:val="000000" w:themeColor="text1"/>
          <w:sz w:val="24"/>
          <w:szCs w:val="24"/>
          <w:u w:val="single"/>
        </w:rPr>
        <w:t>盐城工业职业技术学院网络安全实验室建设</w:t>
      </w:r>
      <w:r>
        <w:rPr>
          <w:rFonts w:hint="eastAsia" w:hAnsi="宋体" w:cs="宋体"/>
          <w:color w:val="000000" w:themeColor="text1"/>
          <w:sz w:val="24"/>
          <w:szCs w:val="24"/>
        </w:rPr>
        <w:t>项目（分包</w:t>
      </w:r>
      <w:r>
        <w:rPr>
          <w:rFonts w:hint="eastAsia" w:hAnsi="宋体" w:cs="宋体"/>
          <w:color w:val="000000" w:themeColor="text1"/>
          <w:sz w:val="24"/>
          <w:szCs w:val="24"/>
          <w:u w:val="single"/>
        </w:rPr>
        <w:t xml:space="preserve">  </w:t>
      </w:r>
      <w:r>
        <w:rPr>
          <w:rFonts w:hint="eastAsia" w:hAnsi="宋体" w:cs="宋体"/>
          <w:color w:val="000000" w:themeColor="text1"/>
          <w:sz w:val="24"/>
          <w:szCs w:val="24"/>
        </w:rPr>
        <w:t>）</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项目编号：</w:t>
      </w:r>
      <w:r>
        <w:rPr>
          <w:rFonts w:hint="eastAsia" w:hAnsi="宋体" w:cs="宋体"/>
          <w:color w:val="000000" w:themeColor="text1"/>
          <w:sz w:val="24"/>
          <w:szCs w:val="24"/>
          <w:u w:val="single"/>
        </w:rPr>
        <w:t>2019-026S-2</w:t>
      </w:r>
      <w:r>
        <w:rPr>
          <w:rFonts w:hint="eastAsia" w:hAnsi="宋体" w:cs="宋体"/>
          <w:color w:val="000000" w:themeColor="text1"/>
          <w:sz w:val="24"/>
          <w:szCs w:val="24"/>
        </w:rPr>
        <w:t>（分包</w:t>
      </w:r>
      <w:r>
        <w:rPr>
          <w:rFonts w:hint="eastAsia" w:hAnsi="宋体" w:cs="宋体"/>
          <w:color w:val="000000" w:themeColor="text1"/>
          <w:sz w:val="24"/>
          <w:szCs w:val="24"/>
          <w:u w:val="single"/>
        </w:rPr>
        <w:t xml:space="preserve">  </w:t>
      </w:r>
      <w:r>
        <w:rPr>
          <w:rFonts w:hint="eastAsia" w:hAnsi="宋体" w:cs="宋体"/>
          <w:color w:val="000000" w:themeColor="text1"/>
          <w:sz w:val="24"/>
          <w:szCs w:val="24"/>
        </w:rPr>
        <w:t>）</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甲方：</w:t>
      </w:r>
      <w:r>
        <w:rPr>
          <w:rFonts w:hint="eastAsia" w:hAnsi="宋体" w:cs="宋体"/>
          <w:color w:val="000000" w:themeColor="text1"/>
          <w:sz w:val="24"/>
          <w:szCs w:val="24"/>
          <w:u w:val="single"/>
        </w:rPr>
        <w:t>盐城工业职业技术学院</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乙方：</w:t>
      </w:r>
    </w:p>
    <w:p>
      <w:pPr>
        <w:spacing w:line="46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color w:val="000000" w:themeColor="text1"/>
          <w:sz w:val="24"/>
          <w:szCs w:val="24"/>
          <w:u w:val="single"/>
        </w:rPr>
        <w:t>盐城工业职业技术学院网络安全实验室建设</w:t>
      </w:r>
      <w:r>
        <w:rPr>
          <w:rFonts w:hint="eastAsia" w:ascii="宋体" w:hAnsi="宋体" w:cs="宋体"/>
          <w:color w:val="000000" w:themeColor="text1"/>
          <w:sz w:val="24"/>
          <w:szCs w:val="24"/>
        </w:rPr>
        <w:t>项目</w:t>
      </w:r>
      <w:r>
        <w:rPr>
          <w:rFonts w:hint="eastAsia" w:hAnsi="宋体" w:cs="宋体"/>
          <w:color w:val="000000" w:themeColor="text1"/>
          <w:sz w:val="24"/>
          <w:szCs w:val="24"/>
        </w:rPr>
        <w:t>（分包</w:t>
      </w:r>
      <w:r>
        <w:rPr>
          <w:rFonts w:hint="eastAsia" w:hAnsi="宋体" w:cs="宋体"/>
          <w:color w:val="000000" w:themeColor="text1"/>
          <w:sz w:val="24"/>
          <w:szCs w:val="24"/>
          <w:u w:val="single"/>
        </w:rPr>
        <w:t xml:space="preserve">  </w:t>
      </w:r>
      <w:r>
        <w:rPr>
          <w:rFonts w:hint="eastAsia" w:hAnsi="宋体" w:cs="宋体"/>
          <w:color w:val="000000" w:themeColor="text1"/>
          <w:sz w:val="24"/>
          <w:szCs w:val="24"/>
        </w:rPr>
        <w:t>）</w:t>
      </w:r>
      <w:r>
        <w:rPr>
          <w:rFonts w:hint="eastAsia" w:ascii="宋体" w:hAnsi="宋体" w:cs="宋体"/>
          <w:color w:val="000000" w:themeColor="text1"/>
          <w:sz w:val="24"/>
          <w:szCs w:val="24"/>
        </w:rPr>
        <w:t>公开招标的结果，签署本合同。</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一、项目内容</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1.1 项目名称：</w:t>
      </w:r>
      <w:r>
        <w:rPr>
          <w:rFonts w:hint="eastAsia" w:hAnsi="宋体" w:cs="宋体"/>
          <w:color w:val="000000" w:themeColor="text1"/>
          <w:sz w:val="24"/>
          <w:szCs w:val="24"/>
          <w:u w:val="single"/>
        </w:rPr>
        <w:t>盐城工业职业技术学院网络安全实验室建设项目</w:t>
      </w:r>
      <w:r>
        <w:rPr>
          <w:rFonts w:hint="eastAsia" w:hAnsi="宋体" w:cs="宋体"/>
          <w:color w:val="000000" w:themeColor="text1"/>
          <w:sz w:val="24"/>
          <w:szCs w:val="24"/>
        </w:rPr>
        <w:t>（分包</w:t>
      </w:r>
      <w:r>
        <w:rPr>
          <w:rFonts w:hint="eastAsia" w:hAnsi="宋体" w:cs="宋体"/>
          <w:color w:val="000000" w:themeColor="text1"/>
          <w:sz w:val="24"/>
          <w:szCs w:val="24"/>
          <w:u w:val="single"/>
        </w:rPr>
        <w:t xml:space="preserve">  </w:t>
      </w:r>
      <w:r>
        <w:rPr>
          <w:rFonts w:hint="eastAsia" w:hAnsi="宋体" w:cs="宋体"/>
          <w:color w:val="000000" w:themeColor="text1"/>
          <w:sz w:val="24"/>
          <w:szCs w:val="24"/>
        </w:rPr>
        <w:t>）。</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1.2 型号规格及数量等内容：</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二、合同金额</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2.1 本合同金额为（大写）：________元（__________元）人民币或其他币种。</w:t>
      </w:r>
    </w:p>
    <w:p>
      <w:pPr>
        <w:spacing w:line="46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2.2合同金额为完成本项目所需的硬件设备/软件研发、</w:t>
      </w:r>
      <w:r>
        <w:rPr>
          <w:rFonts w:hint="eastAsia" w:ascii="宋体" w:hAnsi="宋体" w:cs="宋体"/>
          <w:bCs/>
          <w:color w:val="000000" w:themeColor="text1"/>
          <w:sz w:val="24"/>
          <w:szCs w:val="24"/>
        </w:rPr>
        <w:t>安装、调试和培训费用等交付使用前的全部费用，包括但不限于所有研发成本、制造采购成本、附件、配件、备品备件及专用工具费、运输费、保险费、培训费、安装、调试、技术研发费用、验收费用、维保费、其他费用（如包装费、仓储费、保管费、资料费、使用耗材等以及完成本项目所需要的其他费用）、管理费、利润、风险费用、规费、招标代理费、国家对乙方征收的各种税费等涉及到的所有费用。</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三、技术资料</w:t>
      </w:r>
    </w:p>
    <w:p>
      <w:pPr>
        <w:spacing w:line="46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四、知识产权</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23"/>
        <w:snapToGrid w:val="0"/>
        <w:spacing w:line="460" w:lineRule="exact"/>
        <w:ind w:firstLine="482" w:firstLineChars="200"/>
        <w:rPr>
          <w:rFonts w:hAnsi="宋体" w:cs="宋体"/>
          <w:color w:val="000000" w:themeColor="text1"/>
          <w:sz w:val="24"/>
          <w:szCs w:val="24"/>
          <w:u w:val="single"/>
        </w:rPr>
      </w:pPr>
      <w:r>
        <w:rPr>
          <w:rFonts w:hint="eastAsia" w:hAnsi="宋体" w:cs="宋体"/>
          <w:b/>
          <w:color w:val="000000" w:themeColor="text1"/>
          <w:sz w:val="24"/>
          <w:szCs w:val="24"/>
        </w:rPr>
        <w:t>五、产权担保</w:t>
      </w:r>
    </w:p>
    <w:p>
      <w:pPr>
        <w:pStyle w:val="23"/>
        <w:snapToGrid w:val="0"/>
        <w:spacing w:line="460" w:lineRule="exact"/>
        <w:ind w:firstLine="480" w:firstLineChars="200"/>
        <w:rPr>
          <w:rFonts w:hAnsi="宋体" w:cs="宋体"/>
          <w:color w:val="000000" w:themeColor="text1"/>
          <w:sz w:val="24"/>
          <w:szCs w:val="24"/>
          <w:u w:val="single"/>
        </w:rPr>
      </w:pPr>
      <w:r>
        <w:rPr>
          <w:rFonts w:hint="eastAsia" w:hAnsi="宋体" w:cs="宋体"/>
          <w:color w:val="000000" w:themeColor="text1"/>
          <w:sz w:val="24"/>
          <w:szCs w:val="24"/>
        </w:rPr>
        <w:t>5.1 乙方保证所交付的货物</w:t>
      </w:r>
      <w:r>
        <w:rPr>
          <w:rFonts w:hint="eastAsia" w:hAnsi="宋体" w:cs="宋体"/>
          <w:bCs/>
          <w:color w:val="000000" w:themeColor="text1"/>
          <w:sz w:val="24"/>
          <w:szCs w:val="24"/>
        </w:rPr>
        <w:t>和服务</w:t>
      </w:r>
      <w:r>
        <w:rPr>
          <w:rFonts w:hint="eastAsia" w:hAnsi="宋体" w:cs="宋体"/>
          <w:color w:val="000000" w:themeColor="text1"/>
          <w:sz w:val="24"/>
          <w:szCs w:val="24"/>
        </w:rPr>
        <w:t>的所有权完全属于乙方且无任何抵押、查封等产权瑕疵。</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六、履约保证金</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6.1乙方应在本合同签订前向甲方交纳人民币_______元作为本合同的履约保证金（合同金额的5%）。</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6.2甲方应在乙方履行合同完毕后，在与乙方结清最后一笔费用时将履约保证金无息退还乙方。</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，应由乙方直接供应，不得转让他人供应；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除非得到甲方的书面同意，乙方不得部分分包给他人供应。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7.3如有转让和未经甲方同意的分包行为，甲方有权单方解除合同并追究乙方违约责任。</w:t>
      </w:r>
    </w:p>
    <w:p>
      <w:pPr>
        <w:pStyle w:val="23"/>
        <w:snapToGrid w:val="0"/>
        <w:spacing w:line="460" w:lineRule="exact"/>
        <w:ind w:firstLine="482" w:firstLineChars="200"/>
        <w:rPr>
          <w:rFonts w:hAnsi="宋体" w:cs="宋体"/>
          <w:color w:val="000000" w:themeColor="text1"/>
          <w:sz w:val="24"/>
          <w:szCs w:val="24"/>
        </w:rPr>
      </w:pPr>
      <w:r>
        <w:rPr>
          <w:rFonts w:hint="eastAsia" w:hAnsi="宋体" w:cs="宋体"/>
          <w:b/>
          <w:color w:val="000000" w:themeColor="text1"/>
          <w:sz w:val="24"/>
          <w:szCs w:val="24"/>
        </w:rPr>
        <w:t>八、质保期</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8.1 质保期不少于三年，具体按投标承诺执行。（自交货验收合格之日起计）</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九、交货期、交货方式及交货地点</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9.1 交货期：</w:t>
      </w:r>
      <w:r>
        <w:rPr>
          <w:rFonts w:hint="eastAsia" w:hAnsi="宋体" w:cs="宋体"/>
          <w:color w:val="000000" w:themeColor="text1"/>
          <w:sz w:val="24"/>
          <w:szCs w:val="24"/>
        </w:rPr>
        <w:t>合同签订后30工作日内完成。</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9.2 交货方式：</w:t>
      </w:r>
      <w:r>
        <w:rPr>
          <w:rFonts w:hint="eastAsia" w:hAnsi="宋体" w:cs="宋体"/>
          <w:color w:val="000000" w:themeColor="text1"/>
          <w:sz w:val="24"/>
          <w:szCs w:val="24"/>
          <w:u w:val="single"/>
        </w:rPr>
        <w:t>送货上门</w:t>
      </w:r>
    </w:p>
    <w:p>
      <w:pPr>
        <w:pStyle w:val="23"/>
        <w:snapToGrid w:val="0"/>
        <w:spacing w:line="460" w:lineRule="exact"/>
        <w:ind w:firstLine="480" w:firstLineChars="200"/>
        <w:rPr>
          <w:rFonts w:hAnsi="宋体" w:cs="宋体"/>
          <w:color w:val="000000" w:themeColor="text1"/>
          <w:sz w:val="24"/>
          <w:szCs w:val="24"/>
          <w:u w:val="single"/>
        </w:rPr>
      </w:pPr>
      <w:r>
        <w:rPr>
          <w:rFonts w:hint="eastAsia" w:hAnsi="宋体" w:cs="宋体"/>
          <w:bCs/>
          <w:color w:val="000000" w:themeColor="text1"/>
          <w:sz w:val="24"/>
          <w:szCs w:val="24"/>
        </w:rPr>
        <w:t>9.3 交货地点：</w:t>
      </w:r>
      <w:r>
        <w:rPr>
          <w:rFonts w:hint="eastAsia" w:hAnsi="宋体" w:cs="宋体"/>
          <w:color w:val="000000" w:themeColor="text1"/>
          <w:sz w:val="24"/>
          <w:szCs w:val="24"/>
          <w:u w:val="single"/>
        </w:rPr>
        <w:t>盐城工业职业技术学院校内甲方指定地点</w:t>
      </w:r>
    </w:p>
    <w:p>
      <w:pPr>
        <w:pStyle w:val="23"/>
        <w:snapToGrid w:val="0"/>
        <w:spacing w:line="460" w:lineRule="exact"/>
        <w:ind w:firstLine="480" w:firstLineChars="200"/>
        <w:rPr>
          <w:rFonts w:hAnsi="宋体" w:cs="宋体"/>
          <w:color w:val="000000" w:themeColor="text1"/>
          <w:sz w:val="24"/>
          <w:szCs w:val="24"/>
          <w:u w:val="single"/>
        </w:rPr>
      </w:pPr>
      <w:r>
        <w:rPr>
          <w:rFonts w:hint="eastAsia" w:hAnsi="宋体" w:cs="宋体"/>
          <w:bCs/>
          <w:color w:val="000000" w:themeColor="text1"/>
          <w:sz w:val="24"/>
          <w:szCs w:val="24"/>
        </w:rPr>
        <w:t>验收：由甲方组织相关部门根据技术要求和相关规范验收。</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十、货款支付</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10.1 付款方式：</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分包一：项目软、硬件安装调试完成试运行一个月后，中标人提交全部验收材料并通过甲方组织的验收，经甲方及审计审定后付合同总价的70%，自第一次付款七个月内，付至合同总价的90%，余款一年后根据售后服务情况付总价的5%。质保期满后根据售后服务情况付总价的5%。</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分包二：①项目软、硬件两个项目整体安装、调试、培训结束后进行软、硬件系统初验，初验合格后付合同总额的40%；</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②根据师资培训、专业教学服务项目执行情况，试运行半年后对软、硬件系统进行正式验收，验收合格后付合同总额的20%；</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③合同签订一年后，系统运行无质量问题，专业教学、师资培训、招生推广等服务按招标方案要求有序开展，付合同总额的10%；</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④合同签订两年后，完成课程资源4门在线开放课程定制开发，大学生竞赛、就业、升级维护等服务按招标方案要求有序开展，付已完成项目审定价（该审定价由甲方审计部门自行审计或甲方委托第三方机构审计确定）的15%；</w:t>
      </w:r>
    </w:p>
    <w:p>
      <w:pPr>
        <w:pStyle w:val="23"/>
        <w:snapToGrid w:val="0"/>
        <w:spacing w:line="460" w:lineRule="exact"/>
        <w:ind w:firstLine="480" w:firstLineChars="200"/>
        <w:rPr>
          <w:rFonts w:cs="宋体"/>
          <w:bCs/>
          <w:color w:val="000000" w:themeColor="text1"/>
        </w:rPr>
      </w:pPr>
      <w:r>
        <w:rPr>
          <w:rFonts w:hint="eastAsia" w:hAnsi="宋体" w:cs="宋体"/>
          <w:bCs/>
          <w:color w:val="000000" w:themeColor="text1"/>
          <w:sz w:val="24"/>
          <w:szCs w:val="24"/>
        </w:rPr>
        <w:t>⑤合同签订三年后，项目整体验收合格，经甲方审计部门审计后付清审定价余款。</w:t>
      </w:r>
    </w:p>
    <w:p>
      <w:pPr>
        <w:pStyle w:val="23"/>
        <w:snapToGrid w:val="0"/>
        <w:spacing w:line="46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10.2乙方向甲方出具的货物税务发票必须是正式合法的，且应保证本项目的软件和硬件系统在甲方使用时不受第三方的指控。</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十一、税费</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pStyle w:val="23"/>
        <w:snapToGrid w:val="0"/>
        <w:spacing w:line="460" w:lineRule="exact"/>
        <w:ind w:firstLine="482" w:firstLineChars="200"/>
        <w:rPr>
          <w:rFonts w:hAnsi="宋体" w:cs="宋体"/>
          <w:color w:val="000000" w:themeColor="text1"/>
          <w:sz w:val="24"/>
          <w:szCs w:val="24"/>
        </w:rPr>
      </w:pPr>
      <w:r>
        <w:rPr>
          <w:rFonts w:hint="eastAsia" w:hAnsi="宋体" w:cs="宋体"/>
          <w:b/>
          <w:color w:val="000000" w:themeColor="text1"/>
          <w:sz w:val="24"/>
          <w:szCs w:val="24"/>
        </w:rPr>
        <w:t>十二、质量保证及售后服务</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乙方应按招标文件规定的货物性能、技术要求、质量标准向甲方提供未经使用的全新产品</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 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 更换：由乙方承担所发生的全部费用。</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 贬值处理：由甲乙双方合议定价。</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⑶ 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12.3在质保期内，乙方应对货物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出现的质量及安全问题负责处理解决并承担一切费用，并在接到报修通知后2小时内响应，4小时内到达现场（含节假日），24小时内解决故障，24小时内不能解决问题应提供备用方案并承担由此所导致的损失。</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12.4乙方须向甲方免费提供培训服务，确保使用者完全会使用及操作为止。</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12.5质保期内，乙方免费提供系统升级服务,质保与免费升级服务期限以乙方投标承诺期限为准。</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12.6乙方提供的设备或产品必须是原装全新、符合招标文件规定技术参数、具有中国有关部门注册或检验或商检及生产厂家质量合格证明的设备和产品。</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12.7 乙方提供设备的现场安装调试并达到投标书指标要求的技术性能，并同时在现场对用户进行操作培训。</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12.8设备在调试通过后提供保修服务，整机质保期从初验合格之日起计；在保修期内，所有服务及配件全部免费。保修期外，提供售后服务。</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12.9培训：安装调试合格后，由乙方工程师为甲方操作人员做现场基本操作培训；保证实验人员能够对该实验设备全面地了解，增强使用和维护设备的技能，乙方除了向甲方补充完善整个设备的技术说明、操作说明和相关的文档之外，还应负责组织对现场设备使用人员进行全面高质量的培训。培训的目的：使管理和使用设备的人员不仅对设备有足够的认识，而且能完全胜任所承担的工作，确保设备安全可靠地运行并测试获得理想数据。具体详按乙方投标承诺执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12.10乙方提供免费电话，为用户提供免费的电话咨询及技术服务。</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12.11乙方所提供的货物开箱后，发现有任何问题（包括外观损伤），必须以使用方能接受的方式加以解决。</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十三、调试和验收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甲方对乙方提交的货物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项目软、硬件系统安装、调试、培训后，甲方需在五个工作日内进行初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在使用前进行调试时，乙方需负责安装并培训甲方的使用操作人员，并协助甲方一起调试，直到符合技术要求，甲方才做正式验收。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13.5 验收时乙方必须在现场，验收完毕后作出验收结果报告；验收费用由乙方解决。</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甲方根据国家有关规定、采购文件、乙方的响应文件以及合同约定的内容和验收标准进行验收。验收情况作为支付货款的依据。如有质疑，以相关质量技术检验检测机构的检验结果为准，如产生检验费用，则该费用由过失方承担。</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要求乙方对设备及各类相关文档进行确认和验收，以保障系统达到验收标准。验收内容包括：</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(1)对设备的详细数量进行到货签收确认；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(2)对设备安装、调试，运行报告进行确认；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(3)对项目交付文档进行移交和确认；</w:t>
      </w:r>
    </w:p>
    <w:p>
      <w:pPr>
        <w:spacing w:line="46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以上确认无误后，乙方应和甲方共同确认设备运行符合技术规范后，完成软件测试验收，并签署验收报告。</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十四、货物包装、发运及运输</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在交付甲方前发生的风险均由乙方负责。</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十五、违约责任</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十六、不可抗力事件处理</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十七、诉讼</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23"/>
        <w:snapToGrid w:val="0"/>
        <w:spacing w:line="46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十八、合同生效及其它</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18.2招标文件、投标文件以及投标人所作的承诺是本合同组成部分，与本合同具有同等约束力，本合同未尽事宜，遵照《合同法》等法律法规有关条文执行。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18.3 本合同正本一式二份，副本一式六份，具有同等法律效力。</w:t>
      </w:r>
    </w:p>
    <w:p>
      <w:pPr>
        <w:pStyle w:val="23"/>
        <w:snapToGrid w:val="0"/>
        <w:spacing w:line="460" w:lineRule="exact"/>
        <w:ind w:firstLine="480" w:firstLineChars="200"/>
        <w:rPr>
          <w:rFonts w:hAnsi="宋体" w:cs="宋体"/>
          <w:color w:val="000000" w:themeColor="text1"/>
          <w:sz w:val="24"/>
          <w:szCs w:val="24"/>
        </w:rPr>
      </w:pPr>
    </w:p>
    <w:p>
      <w:pPr>
        <w:pStyle w:val="23"/>
        <w:snapToGrid w:val="0"/>
        <w:spacing w:line="460" w:lineRule="exact"/>
        <w:ind w:firstLine="720" w:firstLineChars="300"/>
        <w:rPr>
          <w:rFonts w:hAnsi="宋体" w:cs="宋体"/>
          <w:color w:val="000000" w:themeColor="text1"/>
          <w:sz w:val="24"/>
          <w:szCs w:val="24"/>
        </w:rPr>
      </w:pPr>
      <w:r>
        <w:rPr>
          <w:rFonts w:hint="eastAsia" w:hAnsi="宋体" w:cs="宋体"/>
          <w:color w:val="000000" w:themeColor="text1"/>
          <w:sz w:val="24"/>
          <w:szCs w:val="24"/>
        </w:rPr>
        <w:t xml:space="preserve">甲方：                                   乙方： </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地址：                                   地址： </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法定代表人或授权代表：                   法定代表人或授权代表：</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采购单位负责人：</w:t>
      </w:r>
    </w:p>
    <w:p>
      <w:pPr>
        <w:pStyle w:val="23"/>
        <w:snapToGrid w:val="0"/>
        <w:spacing w:line="460" w:lineRule="exact"/>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联系电话：                               联系电话：</w:t>
      </w:r>
    </w:p>
    <w:p>
      <w:pPr>
        <w:pStyle w:val="23"/>
        <w:snapToGrid w:val="0"/>
        <w:spacing w:line="460" w:lineRule="exact"/>
        <w:ind w:firstLine="480" w:firstLineChars="200"/>
        <w:rPr>
          <w:rFonts w:hAnsi="宋体" w:cs="宋体"/>
          <w:color w:val="000000" w:themeColor="text1"/>
          <w:sz w:val="24"/>
          <w:szCs w:val="24"/>
        </w:rPr>
      </w:pPr>
    </w:p>
    <w:p>
      <w:pPr>
        <w:pStyle w:val="23"/>
        <w:snapToGrid w:val="0"/>
        <w:spacing w:line="460" w:lineRule="exact"/>
        <w:ind w:firstLine="200"/>
        <w:rPr>
          <w:rFonts w:hAnsi="宋体" w:cs="宋体"/>
          <w:color w:val="000000" w:themeColor="text1"/>
          <w:sz w:val="24"/>
          <w:szCs w:val="24"/>
        </w:rPr>
      </w:pPr>
      <w:r>
        <w:rPr>
          <w:rFonts w:hint="eastAsia" w:hAnsi="宋体" w:cs="宋体"/>
          <w:color w:val="000000" w:themeColor="text1"/>
          <w:sz w:val="24"/>
          <w:szCs w:val="24"/>
        </w:rPr>
        <w:t xml:space="preserve">    签订日期：      年  月  日</w:t>
      </w:r>
    </w:p>
    <w:p>
      <w:pPr>
        <w:pStyle w:val="4"/>
        <w:rPr>
          <w:rFonts w:ascii="宋体" w:hAnsi="宋体" w:eastAsia="宋体" w:cs="宋体"/>
          <w:bCs/>
          <w:color w:val="000000" w:themeColor="text1"/>
          <w:sz w:val="44"/>
        </w:rPr>
      </w:pPr>
      <w:r>
        <w:rPr>
          <w:rFonts w:hint="eastAsia" w:ascii="宋体" w:hAnsi="宋体" w:eastAsia="宋体" w:cs="宋体"/>
          <w:b/>
          <w:color w:val="000000" w:themeColor="text1"/>
          <w:sz w:val="44"/>
        </w:rPr>
        <w:br w:type="page"/>
      </w:r>
      <w:bookmarkStart w:id="164" w:name="_Toc18481237"/>
      <w:r>
        <w:rPr>
          <w:rFonts w:hint="eastAsia" w:ascii="宋体" w:hAnsi="宋体" w:eastAsia="宋体" w:cs="宋体"/>
          <w:b/>
          <w:color w:val="000000" w:themeColor="text1"/>
          <w:sz w:val="44"/>
          <w:szCs w:val="44"/>
        </w:rPr>
        <w:t>第</w:t>
      </w:r>
      <w:bookmarkEnd w:id="158"/>
      <w:r>
        <w:rPr>
          <w:rFonts w:hint="eastAsia" w:ascii="宋体" w:hAnsi="宋体" w:eastAsia="宋体" w:cs="宋体"/>
          <w:b/>
          <w:color w:val="000000" w:themeColor="text1"/>
          <w:sz w:val="44"/>
          <w:szCs w:val="44"/>
        </w:rPr>
        <w:t>四章  项目需求</w:t>
      </w:r>
      <w:bookmarkEnd w:id="159"/>
      <w:bookmarkEnd w:id="160"/>
      <w:bookmarkEnd w:id="161"/>
      <w:bookmarkEnd w:id="164"/>
    </w:p>
    <w:p>
      <w:pPr>
        <w:pStyle w:val="23"/>
        <w:snapToGrid w:val="0"/>
        <w:ind w:firstLine="562" w:firstLineChars="200"/>
        <w:jc w:val="left"/>
        <w:rPr>
          <w:rFonts w:hAnsi="宋体" w:cs="宋体"/>
          <w:b/>
          <w:color w:val="000000" w:themeColor="text1"/>
          <w:sz w:val="28"/>
          <w:szCs w:val="28"/>
        </w:rPr>
      </w:pPr>
      <w:bookmarkStart w:id="165" w:name="_Toc13748842"/>
      <w:bookmarkStart w:id="166" w:name="_Toc49090575"/>
      <w:bookmarkStart w:id="167" w:name="_Toc120614281"/>
      <w:bookmarkStart w:id="168" w:name="_Toc26554093"/>
    </w:p>
    <w:p>
      <w:pPr>
        <w:pStyle w:val="23"/>
        <w:snapToGrid w:val="0"/>
        <w:ind w:firstLine="562" w:firstLineChars="200"/>
        <w:jc w:val="left"/>
        <w:rPr>
          <w:rFonts w:hAnsi="宋体" w:cs="宋体"/>
          <w:b/>
          <w:color w:val="000000" w:themeColor="text1"/>
          <w:sz w:val="28"/>
          <w:szCs w:val="28"/>
        </w:rPr>
      </w:pPr>
      <w:r>
        <w:rPr>
          <w:rFonts w:hint="eastAsia" w:hAnsi="宋体" w:cs="宋体"/>
          <w:b/>
          <w:color w:val="000000" w:themeColor="text1"/>
          <w:sz w:val="28"/>
          <w:szCs w:val="28"/>
        </w:rPr>
        <w:t>一、项目背景</w:t>
      </w:r>
      <w:bookmarkEnd w:id="165"/>
    </w:p>
    <w:p>
      <w:pPr>
        <w:spacing w:line="360" w:lineRule="auto"/>
        <w:ind w:firstLine="470" w:firstLineChars="196"/>
        <w:rPr>
          <w:rFonts w:ascii="宋体" w:hAnsi="宋体" w:cs="宋体"/>
          <w:color w:val="000000" w:themeColor="text1"/>
          <w:sz w:val="24"/>
          <w:szCs w:val="24"/>
        </w:rPr>
      </w:pPr>
      <w:r>
        <w:rPr>
          <w:rFonts w:hint="eastAsia" w:ascii="宋体" w:hAnsi="宋体" w:cs="宋体"/>
          <w:color w:val="000000" w:themeColor="text1"/>
          <w:sz w:val="24"/>
          <w:szCs w:val="24"/>
        </w:rPr>
        <w:t>当前，网络安全形势日益严峻，国家政治、经济、文化、社会、国防安全及公民在网络空间的合法权益面临风险与挑战。习近平总书记指出：“没有网络安全就没有国家安全”。“培养网信人才，要下大功夫、下大本钱，请优秀的老师，编优秀的教材，招优秀的学生，建一流的网络空间安全学院。”</w:t>
      </w:r>
    </w:p>
    <w:p>
      <w:pPr>
        <w:spacing w:line="360" w:lineRule="auto"/>
        <w:ind w:firstLine="470" w:firstLineChars="196"/>
        <w:rPr>
          <w:rFonts w:ascii="宋体" w:hAnsi="宋体" w:cs="宋体"/>
          <w:color w:val="000000" w:themeColor="text1"/>
          <w:sz w:val="24"/>
          <w:szCs w:val="24"/>
        </w:rPr>
      </w:pPr>
      <w:r>
        <w:rPr>
          <w:rFonts w:hint="eastAsia" w:ascii="宋体" w:hAnsi="宋体" w:cs="宋体"/>
          <w:color w:val="000000" w:themeColor="text1"/>
          <w:sz w:val="24"/>
          <w:szCs w:val="24"/>
        </w:rPr>
        <w:t>据相关调研报告显示，我国网络安全人才总需求量超过70万人，相关行业每年还以1.5万人的速度递增，预计2020年相关人才需求将增长到140万，但我国高等教育近年培养的信息安全专业人才仅3万余人，网络安全人才需求缺口巨大。</w:t>
      </w:r>
    </w:p>
    <w:p>
      <w:pPr>
        <w:spacing w:line="360" w:lineRule="auto"/>
        <w:ind w:firstLine="470" w:firstLineChars="196"/>
        <w:rPr>
          <w:rFonts w:ascii="宋体" w:hAnsi="宋体" w:cs="宋体"/>
          <w:color w:val="000000" w:themeColor="text1"/>
          <w:sz w:val="24"/>
          <w:szCs w:val="24"/>
        </w:rPr>
      </w:pPr>
      <w:r>
        <w:rPr>
          <w:rFonts w:hint="eastAsia" w:ascii="宋体" w:hAnsi="宋体" w:cs="宋体"/>
          <w:color w:val="000000" w:themeColor="text1"/>
          <w:sz w:val="24"/>
          <w:szCs w:val="24"/>
        </w:rPr>
        <w:t>2016年6月中央网信办、国家发改委、教育部等联合印发《关于加强网络安全学科建设和人才培养的意见（中网办发文〔2016〕4号）》，提出“加强网络安全学院学科建设和人才培养”8条意见。网络安全人才培养已被列为国家发展大战略。2019年，国家相继出台了《国家职业教育改革实施方案》（“职教二十条”）、《建设产教融合型企业实施办法(试行)》等文件，为破解长期制约我国职业教育体制机制发展的难题指明了方向。</w:t>
      </w:r>
    </w:p>
    <w:p>
      <w:pPr>
        <w:spacing w:line="360" w:lineRule="auto"/>
        <w:ind w:firstLine="470" w:firstLineChars="196"/>
        <w:rPr>
          <w:rFonts w:ascii="宋体" w:hAnsi="宋体" w:cs="宋体"/>
          <w:color w:val="000000" w:themeColor="text1"/>
          <w:sz w:val="24"/>
          <w:szCs w:val="24"/>
        </w:rPr>
      </w:pPr>
      <w:r>
        <w:rPr>
          <w:rFonts w:hint="eastAsia" w:ascii="宋体" w:hAnsi="宋体" w:cs="宋体"/>
          <w:color w:val="000000" w:themeColor="text1"/>
          <w:sz w:val="24"/>
          <w:szCs w:val="24"/>
        </w:rPr>
        <w:t>为策应国家网络强国战略，培养紧缺型网络安全技术技能人才，实现学校转型升级发展。盐城工业职业技术学院决定通过公开招标方式选择国内知名网络安全厂商参与学校的网络安全产业学院建设。</w:t>
      </w:r>
    </w:p>
    <w:p>
      <w:pPr>
        <w:ind w:firstLine="431" w:firstLineChars="196"/>
        <w:rPr>
          <w:rFonts w:ascii="宋体" w:hAnsi="宋体" w:cs="宋体"/>
          <w:color w:val="000000" w:themeColor="text1"/>
          <w:sz w:val="22"/>
          <w:szCs w:val="22"/>
        </w:rPr>
      </w:pPr>
    </w:p>
    <w:p>
      <w:pPr>
        <w:pStyle w:val="23"/>
        <w:snapToGrid w:val="0"/>
        <w:ind w:firstLine="562" w:firstLineChars="200"/>
        <w:jc w:val="left"/>
        <w:rPr>
          <w:rFonts w:hAnsi="宋体" w:cs="宋体"/>
          <w:b/>
          <w:color w:val="000000" w:themeColor="text1"/>
          <w:sz w:val="28"/>
          <w:szCs w:val="28"/>
        </w:rPr>
      </w:pPr>
      <w:bookmarkStart w:id="169" w:name="_Toc13748843"/>
      <w:r>
        <w:rPr>
          <w:rFonts w:hint="eastAsia" w:hAnsi="宋体" w:cs="宋体"/>
          <w:b/>
          <w:color w:val="000000" w:themeColor="text1"/>
          <w:sz w:val="28"/>
          <w:szCs w:val="28"/>
        </w:rPr>
        <w:t>二、项目总体要求</w:t>
      </w:r>
      <w:bookmarkEnd w:id="169"/>
    </w:p>
    <w:p>
      <w:pPr>
        <w:numPr>
          <w:ilvl w:val="0"/>
          <w:numId w:val="1"/>
        </w:numPr>
        <w:spacing w:line="360" w:lineRule="auto"/>
        <w:ind w:firstLine="470" w:firstLineChars="196"/>
        <w:rPr>
          <w:rFonts w:hAnsi="宋体" w:cs="宋体"/>
          <w:color w:val="000000" w:themeColor="text1"/>
          <w:sz w:val="24"/>
          <w:szCs w:val="24"/>
        </w:rPr>
      </w:pPr>
      <w:r>
        <w:rPr>
          <w:rFonts w:hint="eastAsia" w:hAnsi="宋体" w:cs="宋体"/>
          <w:color w:val="000000" w:themeColor="text1"/>
          <w:sz w:val="24"/>
          <w:szCs w:val="24"/>
        </w:rPr>
        <w:t>本项目招标是以产教融合为目的，与分包二中标供应商共建网络安全产业学院。投标人应为国内知名网络安全行业从业企业，</w:t>
      </w:r>
      <w:r>
        <w:rPr>
          <w:rFonts w:hint="eastAsia" w:cs="宋体"/>
          <w:color w:val="000000" w:themeColor="text1"/>
          <w:kern w:val="0"/>
          <w:sz w:val="24"/>
          <w:szCs w:val="24"/>
        </w:rPr>
        <w:t>以书面方式进行品牌授权，能够与校方共建新一代产教融合形式的产业学院，授予校方挂牌具有品牌标识的校企合作产业学院</w:t>
      </w:r>
      <w:r>
        <w:rPr>
          <w:rFonts w:hint="eastAsia" w:hAnsi="宋体" w:cs="宋体"/>
          <w:color w:val="000000" w:themeColor="text1"/>
          <w:sz w:val="24"/>
          <w:szCs w:val="24"/>
        </w:rPr>
        <w:t>，具体名称由校方与中标企业协商确定，期限不少于</w:t>
      </w:r>
      <w:r>
        <w:rPr>
          <w:rFonts w:hint="eastAsia" w:cs="宋体"/>
          <w:color w:val="000000" w:themeColor="text1"/>
          <w:sz w:val="24"/>
          <w:szCs w:val="24"/>
        </w:rPr>
        <w:t>5</w:t>
      </w:r>
      <w:r>
        <w:rPr>
          <w:rFonts w:hint="eastAsia" w:hAnsi="宋体" w:cs="宋体"/>
          <w:color w:val="000000" w:themeColor="text1"/>
          <w:sz w:val="24"/>
          <w:szCs w:val="24"/>
        </w:rPr>
        <w:t>年。</w:t>
      </w:r>
    </w:p>
    <w:p>
      <w:pPr>
        <w:numPr>
          <w:ilvl w:val="0"/>
          <w:numId w:val="1"/>
        </w:numPr>
        <w:spacing w:line="360" w:lineRule="auto"/>
        <w:ind w:firstLine="470" w:firstLineChars="196"/>
        <w:rPr>
          <w:rFonts w:ascii="宋体" w:hAnsi="宋体" w:cs="宋体"/>
          <w:color w:val="000000" w:themeColor="text1"/>
          <w:sz w:val="24"/>
          <w:szCs w:val="24"/>
        </w:rPr>
      </w:pPr>
      <w:r>
        <w:rPr>
          <w:rFonts w:hint="eastAsia" w:ascii="宋体" w:hAnsi="宋体" w:cs="宋体"/>
          <w:color w:val="000000" w:themeColor="text1"/>
          <w:sz w:val="24"/>
          <w:szCs w:val="24"/>
        </w:rPr>
        <w:t>分包二中标人应能与校方建立产教融合合作关系，在后续的合作中参与人才培养方案、专业与课程设置等方案的制定，共同进行精品在线开放课程开发、课程资源库建设、教学方案制定、物理场景定向授课、演练题库更新等一系列的教学资源建设服务内容。</w:t>
      </w:r>
    </w:p>
    <w:p>
      <w:pPr>
        <w:numPr>
          <w:ilvl w:val="0"/>
          <w:numId w:val="1"/>
        </w:numPr>
        <w:spacing w:line="360" w:lineRule="auto"/>
        <w:ind w:firstLine="470"/>
        <w:rPr>
          <w:rFonts w:ascii="宋体" w:hAnsi="宋体" w:cs="宋体"/>
          <w:color w:val="000000" w:themeColor="text1"/>
          <w:sz w:val="24"/>
          <w:szCs w:val="24"/>
        </w:rPr>
      </w:pPr>
      <w:r>
        <w:rPr>
          <w:rFonts w:hint="eastAsia" w:ascii="宋体" w:hAnsi="宋体" w:cs="宋体"/>
          <w:color w:val="000000" w:themeColor="text1"/>
          <w:sz w:val="24"/>
          <w:szCs w:val="24"/>
        </w:rPr>
        <w:t>分包二招标的实验实训系统，应能支持不少于5个信息（网络）安全方面的专业开设，以满足网络空间安全专业群建设需求。</w:t>
      </w:r>
    </w:p>
    <w:p>
      <w:pPr>
        <w:numPr>
          <w:ilvl w:val="0"/>
          <w:numId w:val="1"/>
        </w:numPr>
        <w:spacing w:line="360" w:lineRule="auto"/>
        <w:ind w:firstLine="470"/>
        <w:rPr>
          <w:rFonts w:ascii="宋体" w:hAnsi="宋体" w:cs="宋体"/>
          <w:color w:val="000000" w:themeColor="text1"/>
          <w:sz w:val="24"/>
          <w:szCs w:val="24"/>
        </w:rPr>
      </w:pPr>
      <w:r>
        <w:rPr>
          <w:rFonts w:hint="eastAsia" w:ascii="宋体" w:hAnsi="宋体" w:cs="宋体"/>
          <w:color w:val="000000" w:themeColor="text1"/>
          <w:sz w:val="24"/>
          <w:szCs w:val="24"/>
        </w:rPr>
        <w:t>本项目共建设一个数据中心与四个实验室（满足240个学生同时实验需要）。分包二投标人应根据招标文件载明的现场踏勘联系方式联系索取平面图并进行现场踏勘，设计与项目相适应的室内装潢效果图与施工图。</w:t>
      </w:r>
    </w:p>
    <w:p>
      <w:pPr>
        <w:widowControl/>
        <w:jc w:val="left"/>
        <w:rPr>
          <w:rFonts w:ascii="宋体" w:hAnsi="宋体" w:cs="宋体"/>
          <w:color w:val="000000" w:themeColor="text1"/>
          <w:sz w:val="22"/>
          <w:szCs w:val="22"/>
        </w:rPr>
      </w:pPr>
    </w:p>
    <w:p>
      <w:pPr>
        <w:pStyle w:val="23"/>
        <w:snapToGrid w:val="0"/>
        <w:ind w:firstLine="420" w:firstLineChars="200"/>
        <w:jc w:val="left"/>
        <w:rPr>
          <w:rFonts w:hAnsi="宋体" w:cs="宋体"/>
          <w:b/>
          <w:color w:val="000000" w:themeColor="text1"/>
          <w:sz w:val="28"/>
          <w:szCs w:val="28"/>
        </w:rPr>
      </w:pPr>
      <w:r>
        <w:rPr>
          <w:rFonts w:hint="eastAsia" w:hAnsi="宋体" w:cs="宋体"/>
          <w:color w:val="000000" w:themeColor="text1"/>
        </w:rPr>
        <w:br w:type="page"/>
      </w:r>
      <w:r>
        <w:rPr>
          <w:rFonts w:hint="eastAsia" w:hAnsi="宋体" w:cs="宋体"/>
          <w:b/>
          <w:color w:val="000000" w:themeColor="text1"/>
          <w:sz w:val="28"/>
          <w:szCs w:val="28"/>
        </w:rPr>
        <w:t>三、采购清单</w:t>
      </w:r>
    </w:p>
    <w:p>
      <w:pPr>
        <w:pStyle w:val="23"/>
        <w:snapToGrid w:val="0"/>
        <w:jc w:val="left"/>
        <w:rPr>
          <w:rFonts w:hAnsi="宋体" w:cs="宋体"/>
          <w:b/>
          <w:color w:val="000000" w:themeColor="text1"/>
          <w:sz w:val="28"/>
          <w:szCs w:val="28"/>
        </w:rPr>
      </w:pPr>
    </w:p>
    <w:p>
      <w:pPr>
        <w:pStyle w:val="23"/>
        <w:snapToGrid w:val="0"/>
        <w:jc w:val="left"/>
        <w:rPr>
          <w:rFonts w:hAnsi="宋体" w:cs="宋体"/>
          <w:b/>
          <w:color w:val="000000" w:themeColor="text1"/>
          <w:sz w:val="28"/>
          <w:szCs w:val="28"/>
        </w:rPr>
      </w:pPr>
      <w:r>
        <w:rPr>
          <w:rFonts w:hint="eastAsia" w:hAnsi="宋体" w:cs="宋体"/>
          <w:b/>
          <w:color w:val="000000" w:themeColor="text1"/>
          <w:sz w:val="28"/>
          <w:szCs w:val="28"/>
        </w:rPr>
        <w:t>3.1分包一：</w:t>
      </w:r>
    </w:p>
    <w:tbl>
      <w:tblPr>
        <w:tblStyle w:val="45"/>
        <w:tblW w:w="8983" w:type="dxa"/>
        <w:tblInd w:w="0" w:type="dxa"/>
        <w:tblLayout w:type="fixed"/>
        <w:tblCellMar>
          <w:top w:w="0" w:type="dxa"/>
          <w:left w:w="0" w:type="dxa"/>
          <w:bottom w:w="0" w:type="dxa"/>
          <w:right w:w="0" w:type="dxa"/>
        </w:tblCellMar>
      </w:tblPr>
      <w:tblGrid>
        <w:gridCol w:w="965"/>
        <w:gridCol w:w="720"/>
        <w:gridCol w:w="4426"/>
        <w:gridCol w:w="850"/>
        <w:gridCol w:w="851"/>
        <w:gridCol w:w="1171"/>
      </w:tblGrid>
      <w:tr>
        <w:tblPrEx>
          <w:tblCellMar>
            <w:top w:w="0" w:type="dxa"/>
            <w:left w:w="0" w:type="dxa"/>
            <w:bottom w:w="0" w:type="dxa"/>
            <w:right w:w="0" w:type="dxa"/>
          </w:tblCellMar>
        </w:tblPrEx>
        <w:trPr>
          <w:trHeight w:val="300" w:hRule="atLeast"/>
        </w:trPr>
        <w:tc>
          <w:tcPr>
            <w:tcW w:w="965" w:type="dxa"/>
            <w:vMerge w:val="restart"/>
            <w:tcBorders>
              <w:top w:val="single" w:color="000000" w:sz="8" w:space="0"/>
              <w:left w:val="single" w:color="000000" w:sz="8" w:space="0"/>
              <w:bottom w:val="single" w:color="000000" w:sz="8" w:space="0"/>
              <w:right w:val="single" w:color="000000" w:sz="8" w:space="0"/>
            </w:tcBorders>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bookmarkStart w:id="170" w:name="_Toc15776"/>
            <w:bookmarkStart w:id="171" w:name="_Toc30829_WPSOffice_Level1"/>
            <w:bookmarkStart w:id="172" w:name="_Toc13579319"/>
            <w:bookmarkStart w:id="173" w:name="_Toc13748845"/>
            <w:r>
              <w:rPr>
                <w:rFonts w:hint="eastAsia" w:ascii="宋体" w:hAnsi="宋体" w:cs="宋体"/>
                <w:b/>
                <w:color w:val="000000" w:themeColor="text1"/>
                <w:kern w:val="0"/>
              </w:rPr>
              <w:t>序号</w:t>
            </w:r>
          </w:p>
        </w:tc>
        <w:tc>
          <w:tcPr>
            <w:tcW w:w="720" w:type="dxa"/>
            <w:vMerge w:val="restart"/>
            <w:tcBorders>
              <w:top w:val="single" w:color="000000" w:sz="8" w:space="0"/>
              <w:left w:val="nil"/>
              <w:bottom w:val="single" w:color="000000" w:sz="8" w:space="0"/>
              <w:right w:val="single" w:color="000000" w:sz="8" w:space="0"/>
            </w:tcBorders>
            <w:shd w:val="clear" w:color="auto" w:fill="ADB9CA"/>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类别</w:t>
            </w:r>
          </w:p>
        </w:tc>
        <w:tc>
          <w:tcPr>
            <w:tcW w:w="4426" w:type="dxa"/>
            <w:vMerge w:val="restart"/>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设备名称</w:t>
            </w:r>
          </w:p>
        </w:tc>
        <w:tc>
          <w:tcPr>
            <w:tcW w:w="850" w:type="dxa"/>
            <w:vMerge w:val="restart"/>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851" w:type="dxa"/>
            <w:vMerge w:val="restart"/>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c>
          <w:tcPr>
            <w:tcW w:w="1171" w:type="dxa"/>
            <w:vMerge w:val="restart"/>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备注</w:t>
            </w:r>
          </w:p>
        </w:tc>
      </w:tr>
      <w:tr>
        <w:tblPrEx>
          <w:tblCellMar>
            <w:top w:w="0" w:type="dxa"/>
            <w:left w:w="0" w:type="dxa"/>
            <w:bottom w:w="0" w:type="dxa"/>
            <w:right w:w="0" w:type="dxa"/>
          </w:tblCellMar>
        </w:tblPrEx>
        <w:trPr>
          <w:trHeight w:val="285" w:hRule="atLeast"/>
        </w:trPr>
        <w:tc>
          <w:tcPr>
            <w:tcW w:w="965" w:type="dxa"/>
            <w:vMerge w:val="continue"/>
            <w:tcBorders>
              <w:top w:val="single" w:color="000000" w:sz="8" w:space="0"/>
              <w:left w:val="single" w:color="000000" w:sz="8" w:space="0"/>
              <w:bottom w:val="single" w:color="000000" w:sz="8" w:space="0"/>
              <w:right w:val="single" w:color="000000" w:sz="8" w:space="0"/>
            </w:tcBorders>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720" w:type="dxa"/>
            <w:vMerge w:val="continue"/>
            <w:tcBorders>
              <w:top w:val="single" w:color="000000" w:sz="8" w:space="0"/>
              <w:left w:val="nil"/>
              <w:bottom w:val="single" w:color="000000" w:sz="8" w:space="0"/>
              <w:right w:val="single" w:color="000000" w:sz="8" w:space="0"/>
            </w:tcBorders>
            <w:shd w:val="clear" w:color="auto" w:fill="ADB9CA"/>
            <w:tcMar>
              <w:top w:w="15" w:type="dxa"/>
              <w:left w:w="15" w:type="dxa"/>
              <w:right w:w="15" w:type="dxa"/>
            </w:tcMar>
            <w:vAlign w:val="center"/>
          </w:tcPr>
          <w:p>
            <w:pPr>
              <w:jc w:val="center"/>
              <w:rPr>
                <w:rFonts w:ascii="宋体" w:hAnsi="宋体" w:cs="宋体"/>
                <w:b/>
                <w:color w:val="000000" w:themeColor="text1"/>
              </w:rPr>
            </w:pPr>
          </w:p>
        </w:tc>
        <w:tc>
          <w:tcPr>
            <w:tcW w:w="4426" w:type="dxa"/>
            <w:vMerge w:val="continue"/>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850" w:type="dxa"/>
            <w:vMerge w:val="continue"/>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851" w:type="dxa"/>
            <w:vMerge w:val="continue"/>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1171" w:type="dxa"/>
            <w:vMerge w:val="continue"/>
            <w:tcBorders>
              <w:top w:val="single" w:color="000000" w:sz="8" w:space="0"/>
              <w:left w:val="nil"/>
              <w:bottom w:val="single" w:color="000000" w:sz="8" w:space="0"/>
              <w:right w:val="single" w:color="000000" w:sz="8" w:space="0"/>
            </w:tcBorders>
            <w:shd w:val="clear" w:color="auto" w:fill="ADB9CA"/>
            <w:noWrap/>
            <w:tcMar>
              <w:top w:w="15" w:type="dxa"/>
              <w:left w:w="15" w:type="dxa"/>
              <w:right w:w="15" w:type="dxa"/>
            </w:tcMar>
            <w:vAlign w:val="center"/>
          </w:tcPr>
          <w:p>
            <w:pPr>
              <w:jc w:val="center"/>
              <w:rPr>
                <w:rFonts w:ascii="宋体" w:hAnsi="宋体" w:cs="宋体"/>
                <w:b/>
                <w:color w:val="000000" w:themeColor="text1"/>
              </w:rPr>
            </w:pPr>
          </w:p>
        </w:tc>
      </w:tr>
      <w:tr>
        <w:tblPrEx>
          <w:tblCellMar>
            <w:top w:w="0" w:type="dxa"/>
            <w:left w:w="0" w:type="dxa"/>
            <w:bottom w:w="0" w:type="dxa"/>
            <w:right w:w="0" w:type="dxa"/>
          </w:tblCellMar>
        </w:tblPrEx>
        <w:trPr>
          <w:trHeight w:val="300"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w:t>
            </w:r>
          </w:p>
        </w:tc>
        <w:tc>
          <w:tcPr>
            <w:tcW w:w="7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实验室数据中心</w:t>
            </w: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实验实训系统主控服务器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实验实训系统从属支撑服务器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攻防演练系统支撑服务器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云计算实验室控制节点服务器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5</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云计算实验室云计算节点服务器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6</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网络安全职业技能认证考试系统支撑服务器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7</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态势感知大数据安全支撑服务器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8</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流量探针服务器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9</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态势感知资产探测支撑服务器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10</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服务器机柜</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11</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电气系统分项工程</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12</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接地系统分项工程</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13</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UPS系统分项工程</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14</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环境监控系统</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15</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路由器</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16</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中心交换机</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17</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接入交换机</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18</w:t>
            </w:r>
          </w:p>
        </w:tc>
        <w:tc>
          <w:tcPr>
            <w:tcW w:w="7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网络安全综合实验室</w:t>
            </w: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防火墙安全实训设备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19</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入侵防御安全实训设备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20</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入侵检测实训设备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21</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网站防火墙实训设备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22</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VPN实训设备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23</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日志审计实训设备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24</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漏洞扫描设备实训设备</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25</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网络机柜</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26</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接入交换机</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27</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可视化大屏</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28</w:t>
            </w:r>
          </w:p>
        </w:tc>
        <w:tc>
          <w:tcPr>
            <w:tcW w:w="720" w:type="dxa"/>
            <w:vMerge w:val="restart"/>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云计算安全实验室</w:t>
            </w: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网络机柜</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29</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接入交换机</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30</w:t>
            </w:r>
          </w:p>
        </w:tc>
        <w:tc>
          <w:tcPr>
            <w:tcW w:w="720" w:type="dxa"/>
            <w:vMerge w:val="restart"/>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网络安全态势感知实验室</w:t>
            </w: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可视化大屏</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31</w:t>
            </w:r>
          </w:p>
        </w:tc>
        <w:tc>
          <w:tcPr>
            <w:tcW w:w="72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网络机柜</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85" w:hRule="atLeast"/>
        </w:trPr>
        <w:tc>
          <w:tcPr>
            <w:tcW w:w="9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32</w:t>
            </w: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themeColor="text1"/>
              </w:rPr>
            </w:pPr>
          </w:p>
        </w:tc>
        <w:tc>
          <w:tcPr>
            <w:tcW w:w="442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接入交换机</w:t>
            </w:r>
          </w:p>
        </w:tc>
        <w:tc>
          <w:tcPr>
            <w:tcW w:w="8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8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bl>
    <w:p>
      <w:pPr>
        <w:rPr>
          <w:rFonts w:hAnsi="宋体" w:cs="宋体"/>
          <w:b/>
          <w:color w:val="000000" w:themeColor="text1"/>
          <w:sz w:val="28"/>
          <w:szCs w:val="28"/>
        </w:rPr>
      </w:pPr>
      <w:r>
        <w:rPr>
          <w:rFonts w:hint="eastAsia" w:hAnsi="宋体" w:cs="宋体"/>
          <w:b/>
          <w:color w:val="000000" w:themeColor="text1"/>
          <w:sz w:val="28"/>
          <w:szCs w:val="28"/>
        </w:rPr>
        <w:br w:type="page"/>
      </w:r>
    </w:p>
    <w:p>
      <w:pPr>
        <w:pStyle w:val="23"/>
        <w:snapToGrid w:val="0"/>
        <w:jc w:val="left"/>
        <w:rPr>
          <w:rFonts w:hAnsi="宋体" w:cs="宋体"/>
          <w:b/>
          <w:color w:val="000000" w:themeColor="text1"/>
          <w:sz w:val="28"/>
          <w:szCs w:val="28"/>
        </w:rPr>
      </w:pPr>
      <w:r>
        <w:rPr>
          <w:rFonts w:hint="eastAsia" w:hAnsi="宋体" w:cs="宋体"/>
          <w:b/>
          <w:color w:val="000000" w:themeColor="text1"/>
          <w:sz w:val="28"/>
          <w:szCs w:val="28"/>
        </w:rPr>
        <w:t>3.2分包二：</w:t>
      </w:r>
    </w:p>
    <w:tbl>
      <w:tblPr>
        <w:tblStyle w:val="45"/>
        <w:tblW w:w="8946"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080"/>
        <w:gridCol w:w="1062"/>
        <w:gridCol w:w="4252"/>
        <w:gridCol w:w="992"/>
        <w:gridCol w:w="851"/>
        <w:gridCol w:w="709"/>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vMerge w:val="restart"/>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062" w:type="dxa"/>
            <w:vMerge w:val="restart"/>
            <w:shd w:val="clear" w:color="auto" w:fill="ADB9CA"/>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类别</w:t>
            </w:r>
          </w:p>
        </w:tc>
        <w:tc>
          <w:tcPr>
            <w:tcW w:w="4252" w:type="dxa"/>
            <w:vMerge w:val="restart"/>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设备名称</w:t>
            </w:r>
          </w:p>
        </w:tc>
        <w:tc>
          <w:tcPr>
            <w:tcW w:w="992" w:type="dxa"/>
            <w:vMerge w:val="restart"/>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851" w:type="dxa"/>
            <w:vMerge w:val="restart"/>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c>
          <w:tcPr>
            <w:tcW w:w="709" w:type="dxa"/>
            <w:vMerge w:val="restart"/>
            <w:shd w:val="clear" w:color="auto" w:fill="ADB9CA"/>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080" w:type="dxa"/>
            <w:vMerge w:val="continue"/>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1062" w:type="dxa"/>
            <w:vMerge w:val="continue"/>
            <w:shd w:val="clear" w:color="auto" w:fill="ADB9CA"/>
            <w:tcMar>
              <w:top w:w="15" w:type="dxa"/>
              <w:left w:w="15" w:type="dxa"/>
              <w:right w:w="15" w:type="dxa"/>
            </w:tcMar>
            <w:vAlign w:val="center"/>
          </w:tcPr>
          <w:p>
            <w:pPr>
              <w:jc w:val="center"/>
              <w:rPr>
                <w:rFonts w:ascii="宋体" w:hAnsi="宋体" w:cs="宋体"/>
                <w:b/>
                <w:color w:val="000000" w:themeColor="text1"/>
              </w:rPr>
            </w:pPr>
          </w:p>
        </w:tc>
        <w:tc>
          <w:tcPr>
            <w:tcW w:w="4252" w:type="dxa"/>
            <w:vMerge w:val="continue"/>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992" w:type="dxa"/>
            <w:vMerge w:val="continue"/>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851" w:type="dxa"/>
            <w:vMerge w:val="continue"/>
            <w:shd w:val="clear" w:color="auto" w:fill="ADB9CA"/>
            <w:noWrap/>
            <w:tcMar>
              <w:top w:w="15" w:type="dxa"/>
              <w:left w:w="15" w:type="dxa"/>
              <w:right w:w="15" w:type="dxa"/>
            </w:tcMar>
            <w:vAlign w:val="center"/>
          </w:tcPr>
          <w:p>
            <w:pPr>
              <w:jc w:val="center"/>
              <w:rPr>
                <w:rFonts w:ascii="宋体" w:hAnsi="宋体" w:cs="宋体"/>
                <w:b/>
                <w:color w:val="000000" w:themeColor="text1"/>
              </w:rPr>
            </w:pPr>
          </w:p>
        </w:tc>
        <w:tc>
          <w:tcPr>
            <w:tcW w:w="709" w:type="dxa"/>
            <w:vMerge w:val="continue"/>
            <w:shd w:val="clear" w:color="auto" w:fill="ADB9CA"/>
            <w:noWrap/>
            <w:tcMar>
              <w:top w:w="15" w:type="dxa"/>
              <w:left w:w="15" w:type="dxa"/>
              <w:right w:w="15" w:type="dxa"/>
            </w:tcMar>
            <w:vAlign w:val="center"/>
          </w:tcPr>
          <w:p>
            <w:pPr>
              <w:jc w:val="center"/>
              <w:rPr>
                <w:rFonts w:ascii="宋体" w:hAnsi="宋体" w:cs="宋体"/>
                <w:b/>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w:t>
            </w:r>
          </w:p>
        </w:tc>
        <w:tc>
          <w:tcPr>
            <w:tcW w:w="1062" w:type="dxa"/>
            <w:vMerge w:val="restart"/>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网络安全综合实验室</w:t>
            </w: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云实验管理系统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教学管理系统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学情管理系统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题库管理系统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5</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项目实训管理系统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6</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虚拟仿真系统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7</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虚实结合管理系统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8</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安全攻防演练系统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9</w:t>
            </w:r>
          </w:p>
        </w:tc>
        <w:tc>
          <w:tcPr>
            <w:tcW w:w="1062" w:type="dxa"/>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网络安全职业认证考试平台</w:t>
            </w: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认证考试平台</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10</w:t>
            </w:r>
          </w:p>
        </w:tc>
        <w:tc>
          <w:tcPr>
            <w:tcW w:w="1062" w:type="dxa"/>
            <w:vMerge w:val="restart"/>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云计算安全实验室</w:t>
            </w: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云基础架构平台软件</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11</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实训系统</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12</w:t>
            </w:r>
          </w:p>
        </w:tc>
        <w:tc>
          <w:tcPr>
            <w:tcW w:w="1062" w:type="dxa"/>
            <w:vMerge w:val="restart"/>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网络安全态势感知实验室</w:t>
            </w: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入侵检测模块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13</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事件还原模块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14</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行为预判模块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15</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可视化分析模块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16</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脱敏数据</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17</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资产测绘模块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18</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漏洞感知模块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19</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可视分析模块</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20</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漏洞插件库</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21</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资产探测平台脱敏数据</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22</w:t>
            </w:r>
          </w:p>
        </w:tc>
        <w:tc>
          <w:tcPr>
            <w:tcW w:w="1062" w:type="dxa"/>
            <w:vMerge w:val="restart"/>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网络安全综合教学实验实训课程资源</w:t>
            </w: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《网络安全导论》课程资源包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23</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《信息安全技术》课程资源包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24</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《操作系统安全》课程资源包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25</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《网络协议安全》课程资源包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26</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《网络攻防原理与实践》课程资源包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27</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《Web安全原理与实践》课程资源包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28</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《网络渗透测试实践》课程资源包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29</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《网络安全等级保护》课程资源包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30</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《代码审计与实践》课程资源包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31</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《信息安全管理》课程资源包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32</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《企业安全体系与实践》课程资源包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3"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33</w:t>
            </w:r>
          </w:p>
        </w:tc>
        <w:tc>
          <w:tcPr>
            <w:tcW w:w="1062" w:type="dxa"/>
            <w:vMerge w:val="restart"/>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云计算教学实验实训课程资源</w:t>
            </w:r>
          </w:p>
        </w:tc>
        <w:tc>
          <w:tcPr>
            <w:tcW w:w="4252" w:type="dxa"/>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《云计算导论》课程资源包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34</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《KVM虚拟化技术基础与实践》课程资源包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35</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《云平台技术应用与开发》课程资源包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36</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《云计算综合实训》课程资源包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42"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37</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《云计算与云安全》课程资源包</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38</w:t>
            </w:r>
          </w:p>
        </w:tc>
        <w:tc>
          <w:tcPr>
            <w:tcW w:w="1062" w:type="dxa"/>
            <w:vMerge w:val="restart"/>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配套服务</w:t>
            </w: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方案</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78"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39</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品牌使用授权</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8"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40</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升级、维护</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8"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41</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定制专业人才培养方案</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3"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42</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招生推广服务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8"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43</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师资培训服务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8"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44</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专业教学服务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23"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45</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大学生竞赛服务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12"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46</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企业职业认证考试与社会培训</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89"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47</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课程资源库开发服务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48</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就业服务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rPr>
            </w:pPr>
            <w:r>
              <w:rPr>
                <w:color w:val="000000" w:themeColor="text1"/>
                <w:kern w:val="0"/>
              </w:rPr>
              <w:t>49</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bottom"/>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教学管理支撑服务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80" w:type="dxa"/>
            <w:shd w:val="clear" w:color="auto" w:fill="auto"/>
            <w:noWrap/>
            <w:tcMar>
              <w:top w:w="15" w:type="dxa"/>
              <w:left w:w="15" w:type="dxa"/>
              <w:right w:w="15" w:type="dxa"/>
            </w:tcMar>
            <w:vAlign w:val="center"/>
          </w:tcPr>
          <w:p>
            <w:pPr>
              <w:widowControl/>
              <w:jc w:val="center"/>
              <w:textAlignment w:val="center"/>
              <w:rPr>
                <w:color w:val="000000" w:themeColor="text1"/>
                <w:kern w:val="0"/>
              </w:rPr>
            </w:pPr>
            <w:r>
              <w:rPr>
                <w:rFonts w:hint="eastAsia"/>
                <w:color w:val="000000" w:themeColor="text1"/>
                <w:kern w:val="0"/>
              </w:rPr>
              <w:t>50</w:t>
            </w:r>
          </w:p>
        </w:tc>
        <w:tc>
          <w:tcPr>
            <w:tcW w:w="1062" w:type="dxa"/>
            <w:vMerge w:val="continue"/>
            <w:shd w:val="clear" w:color="auto" w:fill="auto"/>
            <w:tcMar>
              <w:top w:w="15" w:type="dxa"/>
              <w:left w:w="15" w:type="dxa"/>
              <w:right w:w="15" w:type="dxa"/>
            </w:tcMar>
            <w:vAlign w:val="center"/>
          </w:tcPr>
          <w:p>
            <w:pPr>
              <w:jc w:val="center"/>
              <w:rPr>
                <w:rFonts w:ascii="宋体" w:hAnsi="宋体" w:cs="宋体"/>
                <w:color w:val="000000" w:themeColor="text1"/>
              </w:rPr>
            </w:pPr>
          </w:p>
        </w:tc>
        <w:tc>
          <w:tcPr>
            <w:tcW w:w="4252" w:type="dxa"/>
            <w:shd w:val="clear" w:color="auto" w:fill="auto"/>
            <w:tcMar>
              <w:top w:w="15" w:type="dxa"/>
              <w:left w:w="15" w:type="dxa"/>
              <w:right w:w="15" w:type="dxa"/>
            </w:tcMar>
            <w:vAlign w:val="center"/>
          </w:tcPr>
          <w:p>
            <w:pPr>
              <w:widowControl/>
              <w:jc w:val="center"/>
              <w:textAlignment w:val="bottom"/>
              <w:rPr>
                <w:rFonts w:ascii="宋体" w:hAnsi="宋体" w:cs="宋体"/>
                <w:color w:val="000000" w:themeColor="text1"/>
              </w:rPr>
            </w:pPr>
            <w:r>
              <w:rPr>
                <w:rFonts w:hint="eastAsia" w:ascii="宋体" w:hAnsi="宋体" w:cs="宋体"/>
                <w:color w:val="000000" w:themeColor="text1"/>
                <w:kern w:val="0"/>
              </w:rPr>
              <w:t>室内装潢设计</w:t>
            </w:r>
          </w:p>
        </w:tc>
        <w:tc>
          <w:tcPr>
            <w:tcW w:w="99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851"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709"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中标后提供全套设计图纸</w:t>
            </w:r>
          </w:p>
        </w:tc>
      </w:tr>
    </w:tbl>
    <w:p>
      <w:pPr>
        <w:pStyle w:val="23"/>
        <w:snapToGrid w:val="0"/>
        <w:ind w:firstLine="562" w:firstLineChars="200"/>
        <w:jc w:val="left"/>
        <w:rPr>
          <w:rFonts w:hAnsi="宋体" w:cs="宋体"/>
          <w:b/>
          <w:color w:val="000000" w:themeColor="text1"/>
          <w:sz w:val="28"/>
          <w:szCs w:val="28"/>
        </w:rPr>
      </w:pPr>
    </w:p>
    <w:p>
      <w:pPr>
        <w:pStyle w:val="23"/>
        <w:snapToGrid w:val="0"/>
        <w:jc w:val="left"/>
        <w:rPr>
          <w:rFonts w:hAnsi="宋体" w:cs="宋体"/>
          <w:b/>
          <w:bCs/>
          <w:color w:val="000000" w:themeColor="text1"/>
        </w:rPr>
      </w:pPr>
      <w:r>
        <w:rPr>
          <w:rFonts w:hint="eastAsia" w:hAnsi="宋体" w:cs="宋体"/>
          <w:b/>
          <w:color w:val="000000" w:themeColor="text1"/>
          <w:sz w:val="28"/>
          <w:szCs w:val="28"/>
        </w:rPr>
        <w:t>四、技术规格、参数</w:t>
      </w:r>
      <w:bookmarkEnd w:id="170"/>
      <w:bookmarkEnd w:id="171"/>
      <w:bookmarkEnd w:id="172"/>
      <w:r>
        <w:rPr>
          <w:rFonts w:hint="eastAsia" w:hAnsi="宋体" w:cs="宋体"/>
          <w:b/>
          <w:color w:val="000000" w:themeColor="text1"/>
          <w:sz w:val="28"/>
          <w:szCs w:val="28"/>
        </w:rPr>
        <w:t>及服务要求</w:t>
      </w:r>
      <w:bookmarkEnd w:id="173"/>
    </w:p>
    <w:p>
      <w:pPr>
        <w:pStyle w:val="23"/>
        <w:snapToGrid w:val="0"/>
        <w:jc w:val="left"/>
        <w:rPr>
          <w:rFonts w:hAnsi="宋体" w:cs="宋体"/>
          <w:b/>
          <w:color w:val="000000" w:themeColor="text1"/>
          <w:sz w:val="28"/>
          <w:szCs w:val="28"/>
          <w:highlight w:val="yellow"/>
        </w:rPr>
      </w:pPr>
      <w:bookmarkStart w:id="174" w:name="_Toc9423_WPSOffice_Level2"/>
      <w:bookmarkStart w:id="175" w:name="_Toc13579321"/>
      <w:bookmarkStart w:id="176" w:name="_Toc13748849"/>
      <w:bookmarkStart w:id="177" w:name="_Toc10558"/>
      <w:r>
        <w:rPr>
          <w:rFonts w:hint="eastAsia" w:hAnsi="宋体" w:cs="宋体"/>
          <w:b/>
          <w:color w:val="000000" w:themeColor="text1"/>
          <w:sz w:val="28"/>
          <w:szCs w:val="28"/>
          <w:highlight w:val="yellow"/>
        </w:rPr>
        <w:t>4.1分包一：</w:t>
      </w:r>
    </w:p>
    <w:p>
      <w:pPr>
        <w:pStyle w:val="7"/>
        <w:spacing w:line="240" w:lineRule="auto"/>
        <w:rPr>
          <w:rFonts w:ascii="宋体" w:hAnsi="宋体" w:cs="宋体"/>
          <w:b w:val="0"/>
          <w:bCs w:val="0"/>
          <w:color w:val="000000" w:themeColor="text1"/>
          <w:sz w:val="28"/>
          <w:szCs w:val="28"/>
        </w:rPr>
      </w:pPr>
      <w:r>
        <w:rPr>
          <w:rFonts w:hint="eastAsia" w:ascii="宋体" w:hAnsi="宋体" w:cs="宋体"/>
          <w:color w:val="000000" w:themeColor="text1"/>
          <w:sz w:val="28"/>
          <w:szCs w:val="28"/>
        </w:rPr>
        <w:t>4.1.1  实验室数据中心</w:t>
      </w:r>
    </w:p>
    <w:tbl>
      <w:tblPr>
        <w:tblStyle w:val="45"/>
        <w:tblW w:w="10720" w:type="dxa"/>
        <w:jc w:val="center"/>
        <w:tblLayout w:type="fixed"/>
        <w:tblCellMar>
          <w:top w:w="0" w:type="dxa"/>
          <w:left w:w="0" w:type="dxa"/>
          <w:bottom w:w="0" w:type="dxa"/>
          <w:right w:w="0" w:type="dxa"/>
        </w:tblCellMar>
      </w:tblPr>
      <w:tblGrid>
        <w:gridCol w:w="594"/>
        <w:gridCol w:w="1678"/>
        <w:gridCol w:w="7297"/>
        <w:gridCol w:w="533"/>
        <w:gridCol w:w="618"/>
      </w:tblGrid>
      <w:tr>
        <w:tblPrEx>
          <w:tblCellMar>
            <w:top w:w="0" w:type="dxa"/>
            <w:left w:w="0" w:type="dxa"/>
            <w:bottom w:w="0" w:type="dxa"/>
            <w:right w:w="0" w:type="dxa"/>
          </w:tblCellMar>
        </w:tblPrEx>
        <w:trPr>
          <w:trHeight w:val="581" w:hRule="atLeast"/>
          <w:tblHeader/>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项目名称</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85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实验实训系统主控服务器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硬盘：配置≥600GB*2 SAS 10K RPM 12Gb/s ，≥2TB*2 SSD 6Gb/s，≥8TB*3 SATA(3.5英寸硬盘满配盘托)；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网络接口：配置双口千兆以太网控制器，支持虚拟化、网络加速、负载均衡、冗余等高级功能；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电源：至少配置白金效率500W交流电源；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管理：支持IPMI 2.0标准，配置KVM over IP（允许从任何地点通过网络访问、安装、配置和控制远端服务器）及虚拟媒体功能，提供1个管理专用的1000Mb以太网口（RJ45接口）。</w:t>
            </w:r>
          </w:p>
          <w:p>
            <w:pPr>
              <w:widowControl/>
              <w:jc w:val="left"/>
              <w:textAlignment w:val="top"/>
              <w:rPr>
                <w:rFonts w:ascii="宋体" w:hAnsi="宋体" w:cs="宋体"/>
                <w:color w:val="000000" w:themeColor="text1"/>
              </w:rPr>
            </w:pPr>
            <w:r>
              <w:rPr>
                <w:rFonts w:hint="eastAsia" w:ascii="宋体" w:hAnsi="宋体" w:cs="宋体"/>
                <w:color w:val="000000" w:themeColor="text1"/>
                <w:kern w:val="0"/>
              </w:rPr>
              <w:t>系统：CentOS(定制版)。</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85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实验实训系统从属支撑服务器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硬盘：配置≥600GB*2 SAS 10K RPM 12Gb/s，≥2TB*2 SSD 6Gb/s；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网络接口：配置双口千兆以太网控制器，支持虚拟化、网络加速、负载均衡、冗余等高级功能；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电源：至少配置白金效率500W交流电源；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管理：支持IPMI 2.0标准，配置KVM over IP（允许从任何地点通过网络访问、安装、配置和控制远端服务器）及虚拟媒体功能，提供1个管理专用的1000Mb以太网口（RJ45接口）。</w:t>
            </w:r>
          </w:p>
          <w:p>
            <w:pPr>
              <w:widowControl/>
              <w:jc w:val="left"/>
              <w:textAlignment w:val="top"/>
              <w:rPr>
                <w:rFonts w:ascii="宋体" w:hAnsi="宋体" w:cs="宋体"/>
                <w:color w:val="000000" w:themeColor="text1"/>
              </w:rPr>
            </w:pPr>
            <w:r>
              <w:rPr>
                <w:rFonts w:hint="eastAsia" w:ascii="宋体" w:hAnsi="宋体" w:cs="宋体"/>
                <w:color w:val="000000" w:themeColor="text1"/>
                <w:kern w:val="0"/>
              </w:rPr>
              <w:t>系统：CentOS(定制版)。</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攻防演练系统支撑服务器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硬盘：配置≥600GB*2 SAS 10K RPM 12Gb/s，≥2TB*2 SSD，≥1TB*2 PCIe硬盘；</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网络接口：配置双口千兆以太网控制器，支持虚拟化、网络加速、负载均衡、冗余等高级功能；      </w:t>
            </w:r>
          </w:p>
          <w:p>
            <w:pPr>
              <w:widowControl/>
              <w:textAlignment w:val="top"/>
              <w:rPr>
                <w:rFonts w:ascii="宋体" w:hAnsi="宋体" w:cs="宋体"/>
                <w:color w:val="000000" w:themeColor="text1"/>
              </w:rPr>
            </w:pPr>
            <w:r>
              <w:rPr>
                <w:rFonts w:hint="eastAsia" w:ascii="宋体" w:hAnsi="宋体" w:cs="宋体"/>
                <w:color w:val="000000" w:themeColor="text1"/>
                <w:kern w:val="0"/>
              </w:rPr>
              <w:t>电源：至少配置白金效率500W交流电源。</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68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云计算实验室控制节点服务器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CPU：配置≥1颗Intel E5-2630v3八核处理器 (主频2.4GHz)；</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内存：配置≥32GB*4 REEC，基于后期扩展，最大支持≥8根内存插槽；</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硬盘：配置≥600GB*2 SAS 15000RPM 6.0Gb/s;</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RAID：1GB缓存 6Gb RAID控制器，支持RAID0,1,10,5；</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网络接口：配置双口千兆以太网控制器，支持虚拟化、网络加速、负载均衡、冗余等高级功能；</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电源：配置白金效率500W电源；</w:t>
            </w:r>
          </w:p>
          <w:p>
            <w:pPr>
              <w:widowControl/>
              <w:jc w:val="left"/>
              <w:textAlignment w:val="top"/>
              <w:rPr>
                <w:rFonts w:ascii="宋体" w:hAnsi="宋体" w:cs="宋体"/>
                <w:color w:val="000000" w:themeColor="text1"/>
              </w:rPr>
            </w:pPr>
            <w:r>
              <w:rPr>
                <w:rFonts w:hint="eastAsia" w:ascii="宋体" w:hAnsi="宋体" w:cs="宋体"/>
                <w:color w:val="000000" w:themeColor="text1"/>
                <w:kern w:val="0"/>
              </w:rPr>
              <w:t>管理：支持IPMI 2.0标准，配置KVM over IP（允许从任何地点通过网络访问、安装、配置和控制远端服务器）及虚拟媒体功能，提供1个管理专用的1000Mb以太网口（RJ45接口）。</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26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云计算实验室云计算节点服务器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CPU：配置≥2颗Intel Xeon E5-2630v4十核处理器 (主频2.2GHz)；</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内存：配置≥32GB*6 REEC，基于后期扩展，最大支持≥8根内存插槽;</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硬盘：配置≥1TB*2 SSD，≥8TB*2 SATA；</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RAID：1GB缓存 6Gb RAID控制器，支持RAID0,1,10,5；</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网络接口：配置双口千兆以太网控制器，支持虚拟化、网络加速、负载均衡、冗余等高级功能。</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电源：配置白金效率500W+1冗余电源；风扇：具备精准气流管理系统，根据环境温度、组件温度、气压，精确控制风量；I/O扩展：基于应用，支持≥6个PCIE3.0插槽,支持≥2个GPU扩展；</w:t>
            </w:r>
          </w:p>
          <w:p>
            <w:pPr>
              <w:widowControl/>
              <w:jc w:val="left"/>
              <w:textAlignment w:val="top"/>
              <w:rPr>
                <w:rFonts w:ascii="宋体" w:hAnsi="宋体" w:cs="宋体"/>
                <w:color w:val="000000" w:themeColor="text1"/>
              </w:rPr>
            </w:pPr>
            <w:r>
              <w:rPr>
                <w:rFonts w:hint="eastAsia" w:ascii="宋体" w:hAnsi="宋体" w:cs="宋体"/>
                <w:color w:val="000000" w:themeColor="text1"/>
                <w:kern w:val="0"/>
              </w:rPr>
              <w:t>管理：支持IPMI 2.0标准，配置KVM over IP（允许从任何地点通过网络访问、安装、配置和控制远端服务器）及虚拟媒体功能，提供1个管理专用的1000Mb以太网口（RJ45接口）。</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48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网络安全职业技能认证考试系统支撑服务器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硬盘：配置≥600GB*2 SAS 10K RPM 12Gb/s ，≥2TB*2 SSD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网络接口：配置双口千兆以太网控制器，支持虚拟化、网络加速、负载均衡、冗余等高级功能；      </w:t>
            </w:r>
          </w:p>
          <w:p>
            <w:pPr>
              <w:widowControl/>
              <w:textAlignment w:val="top"/>
              <w:rPr>
                <w:rFonts w:ascii="宋体" w:hAnsi="宋体" w:cs="宋体"/>
                <w:color w:val="000000" w:themeColor="text1"/>
              </w:rPr>
            </w:pPr>
            <w:r>
              <w:rPr>
                <w:rFonts w:hint="eastAsia" w:ascii="宋体" w:hAnsi="宋体" w:cs="宋体"/>
                <w:color w:val="000000" w:themeColor="text1"/>
                <w:kern w:val="0"/>
              </w:rPr>
              <w:t xml:space="preserve">电源：至少配置白金效率500W交流电源。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态势感知大数据安全支撑服务器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硬盘：配置≥600GB*2 SAS 10K RPM 12Gb/s ，≥8TB*3 SATA;</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网络接口：配置双口千兆以太网控制器，支持虚拟化、网络加速、负载均衡、冗余等高级功能；      </w:t>
            </w:r>
          </w:p>
          <w:p>
            <w:pPr>
              <w:widowControl/>
              <w:textAlignment w:val="top"/>
              <w:rPr>
                <w:rFonts w:ascii="宋体" w:hAnsi="宋体" w:cs="宋体"/>
                <w:color w:val="000000" w:themeColor="text1"/>
              </w:rPr>
            </w:pPr>
            <w:r>
              <w:rPr>
                <w:rFonts w:hint="eastAsia" w:ascii="宋体" w:hAnsi="宋体" w:cs="宋体"/>
                <w:color w:val="000000" w:themeColor="text1"/>
                <w:kern w:val="0"/>
              </w:rPr>
              <w:t xml:space="preserve">电源：至少配置白金效率500W交流电源。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9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8</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态势感知资产探测支撑服务器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硬盘：配置≥600GB*2 SAS 10K RPM 12Gb/s ，≥8T*3 SATA;</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网络接口：配置双口千兆以太网控制器，支持虚拟化、网络加速、负载均衡、冗余等高级功能；      </w:t>
            </w:r>
          </w:p>
          <w:p>
            <w:pPr>
              <w:pStyle w:val="53"/>
              <w:rPr>
                <w:rFonts w:ascii="宋体" w:hAnsi="宋体" w:cs="宋体"/>
                <w:color w:val="000000" w:themeColor="text1"/>
                <w:sz w:val="21"/>
                <w:szCs w:val="21"/>
              </w:rPr>
            </w:pPr>
            <w:r>
              <w:rPr>
                <w:rFonts w:hint="eastAsia" w:ascii="宋体" w:hAnsi="宋体" w:cs="宋体"/>
                <w:color w:val="000000" w:themeColor="text1"/>
                <w:sz w:val="21"/>
                <w:szCs w:val="21"/>
              </w:rPr>
              <w:t xml:space="preserve">电源：至少配置白金效率500W交流电源。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9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9</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流量探针服务器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规格：2U机架式，配导轨套件；</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CPU：配置≥2颗Intel E5-2630v4十核处理器 (主频2.2GHz)；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内存：配置≥32GB*8 DDR4 REEC，基于后期扩展，最大支持≥8根内存插槽；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硬盘：配置≥600GB*2 SAS 10K RPM 12Gb/s ，≥8T*3 SATA;</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 xml:space="preserve">RAID：1GB缓存 12Gb/S RAID控制器，支持RAID0,1,5,6,10,50,60，带超级电容；       </w:t>
            </w:r>
          </w:p>
          <w:p>
            <w:pPr>
              <w:widowControl/>
              <w:jc w:val="left"/>
              <w:textAlignment w:val="top"/>
              <w:rPr>
                <w:rFonts w:ascii="宋体" w:hAnsi="宋体" w:cs="宋体"/>
                <w:color w:val="000000" w:themeColor="text1"/>
                <w:kern w:val="0"/>
              </w:rPr>
            </w:pPr>
            <w:r>
              <w:rPr>
                <w:rFonts w:hint="eastAsia" w:ascii="宋体" w:hAnsi="宋体" w:cs="宋体"/>
                <w:color w:val="000000" w:themeColor="text1"/>
                <w:kern w:val="0"/>
              </w:rPr>
              <w:t>网络接口：配置双口千兆以太网控制器，支持虚拟化、网络加速、负载均衡、冗余等高级功能，至少配置</w:t>
            </w:r>
            <w:r>
              <w:rPr>
                <w:rFonts w:hint="eastAsia" w:ascii="宋体" w:hAnsi="宋体" w:cs="宋体"/>
                <w:color w:val="000000" w:themeColor="text1"/>
              </w:rPr>
              <w:t>万兆网卡1个</w:t>
            </w:r>
            <w:r>
              <w:rPr>
                <w:rFonts w:hint="eastAsia" w:ascii="宋体" w:hAnsi="宋体" w:cs="宋体"/>
                <w:color w:val="000000" w:themeColor="text1"/>
                <w:kern w:val="0"/>
              </w:rPr>
              <w:t xml:space="preserve">；      </w:t>
            </w:r>
          </w:p>
          <w:p>
            <w:pPr>
              <w:pStyle w:val="53"/>
              <w:rPr>
                <w:rFonts w:ascii="宋体" w:hAnsi="宋体" w:cs="宋体"/>
                <w:color w:val="000000" w:themeColor="text1"/>
                <w:sz w:val="21"/>
                <w:szCs w:val="21"/>
              </w:rPr>
            </w:pPr>
            <w:r>
              <w:rPr>
                <w:rFonts w:hint="eastAsia" w:ascii="宋体" w:hAnsi="宋体" w:cs="宋体"/>
                <w:color w:val="000000" w:themeColor="text1"/>
                <w:sz w:val="21"/>
                <w:szCs w:val="21"/>
              </w:rPr>
              <w:t xml:space="preserve">电源：至少配置白金效率500W交流电源。  </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119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服务器机柜</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标准42U机柜，尺寸：600*1100*2019mm，承重≥1200KG。颜色：黑色；材质：立柱、横梁、方孔条采用不小于1.5mm厚高强度热镀锌钢板，侧门、后门、前门采用≥1.2mm厚高强度热镀锌钢板；防火等级IP20,。网孔门板开孔均匀，支持通风率大于等于67%，前后门均采用机械门锁，具有高可靠性接地功能，随机配件配齐。</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14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11</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电气系统分项工程</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1、UPS一体化精密配电柜：（1） 外形尺寸与服务器机柜一致；（2）产品符合</w:t>
            </w:r>
            <w:r>
              <w:rPr>
                <w:rFonts w:ascii="宋体" w:hAnsi="宋体" w:cs="宋体"/>
                <w:color w:val="000000" w:themeColor="text1"/>
                <w:kern w:val="0"/>
              </w:rPr>
              <w:t>GB/T7251.12-2013</w:t>
            </w:r>
            <w:r>
              <w:rPr>
                <w:rFonts w:hint="eastAsia" w:ascii="宋体" w:hAnsi="宋体" w:cs="宋体"/>
                <w:color w:val="000000" w:themeColor="text1"/>
                <w:kern w:val="0"/>
              </w:rPr>
              <w:t>，并提供3C认证；（3）输入电压：380/400/415V（-10%~+20%）；（4）开关元器件采用施耐德/ABB元器件；（5）与UPS集成一体化设计；（6）防雷：B级防雷30KA；（7）附件：LCD屏幕、多功能电量仪、指示灯、铜排等；（8）接入动环监控系统。</w:t>
            </w:r>
            <w:r>
              <w:rPr>
                <w:rFonts w:hint="eastAsia" w:ascii="宋体" w:hAnsi="宋体" w:cs="宋体"/>
                <w:color w:val="000000" w:themeColor="text1"/>
                <w:kern w:val="0"/>
              </w:rPr>
              <w:br w:type="textWrapping"/>
            </w:r>
            <w:r>
              <w:rPr>
                <w:rFonts w:hint="eastAsia" w:ascii="宋体" w:hAnsi="宋体" w:cs="宋体"/>
                <w:color w:val="000000" w:themeColor="text1"/>
                <w:kern w:val="0"/>
              </w:rPr>
              <w:t>2、机柜专用PDU：铝合金材质，额定输入电压：220-250V，额定电流：16A；8位。</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60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12</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接地系统分项工程</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接地端子箱：尺寸：330*230*120mm，同流容量200KA/接线柱10个；静电泄漏网、等电位地网、浪涌保护器</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148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13</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UPS系统分项工程</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1、UPS不间断主机：兼容单进单出、三进单出及三进三出，20KVA机架式UPS；电池节数24-40节可调。</w:t>
            </w:r>
            <w:r>
              <w:rPr>
                <w:rFonts w:hint="eastAsia" w:ascii="宋体" w:hAnsi="宋体" w:cs="宋体"/>
                <w:color w:val="000000" w:themeColor="text1"/>
                <w:kern w:val="0"/>
              </w:rPr>
              <w:br w:type="textWrapping"/>
            </w:r>
            <w:r>
              <w:rPr>
                <w:rFonts w:hint="eastAsia" w:ascii="宋体" w:hAnsi="宋体" w:cs="宋体"/>
                <w:color w:val="000000" w:themeColor="text1"/>
                <w:kern w:val="0"/>
              </w:rPr>
              <w:t>2、密封阀式铅酸蓄电池：（1）容量：12V100AH阀控铅酸免维护蓄电池；（2）电池设计寿命≥10年；（3）防火性能：蓄电池外壳须采用ABS阻燃壳体制造；（4）与UPS主机同品牌。</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3、电池柜：整机磷化喷塑，耐磨防蚀。可拆装式全开放结构。优质金属成型，受力均匀。封闭式电池柜，内置12V100AH电池32节。</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60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环境监控系统</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机房动力环境监控主机、温湿度传感器、市配电柜（三相电量仪）电压电流监控、普通空调监控、UPS监控、门磁/人体红外感应。</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15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15</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路由器</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支持网络协议：PPP，CHAP，PAP，MS-CHAP，PPPoE，DHCP 客户端，DHCP服务器，NAPT，NTP，DDNS；</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广域网接口≥2个10/100/1000M WAN口（电口和光口复用），局域网接口≥8个10/100/1000M LAN口；</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配置1个USB接口、1个Console口；</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功能参数：内置防火墙、Qos支持、VPN支持；</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网络管理：基于Web的用户管理接口(远程管理/本地管理)、HTTPS远程管理、命令行CLI；</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流量监控：基于物理端口的流量统计；基于IP的流量统计，支持自动排序功能；基于IP的NAT链接数统计；</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系统服务：ALG；端口触发；UPnP；虚拟服务器；DMZ 主机；VPN透传(PPTP、L2TP、IPSec)；</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故障诊断：Ping/Traceroute；设备自检；故障信息一键导出。</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15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16</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中心交换机</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传输速率:10/100/1000Mbps,交换方式:存储-转发,背板带宽≥336Gbps/3.36Tbps,包转发率≥51Mpps/108Mpps；</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MAC地址表:支持黑洞MAC地址，支持设置端口MAC地址学习最大个数；</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端口描述≥24个10/100/1000Base-T以太网端口，≥4个1000Base-X SFP千兆以太网端口；</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控制端口:1个Console口；</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网络协议:支持STP/RSTP/MSTP协议，支持STP Root Protection，支持RRPP；</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路由协议：支持IPv4/IPv6静态路由，支持RIP/RIPng，OSPFV1/V2/V3；</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网络管理:支持命令行接口（CLI）配置，支持Telnet远程配置，支持通过Console口配置；</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安全特性：支持用户分级管理和口令保护，支持SSH2.0；</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镜像：支持端口镜像，支持流镜像。</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9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17</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接入交换机</w:t>
            </w:r>
          </w:p>
        </w:tc>
        <w:tc>
          <w:tcPr>
            <w:tcW w:w="7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3"/>
              <w:rPr>
                <w:rFonts w:ascii="宋体" w:hAnsi="宋体" w:cs="宋体"/>
                <w:color w:val="000000" w:themeColor="text1"/>
                <w:sz w:val="21"/>
                <w:szCs w:val="21"/>
              </w:rPr>
            </w:pPr>
            <w:r>
              <w:rPr>
                <w:rFonts w:hint="eastAsia" w:ascii="宋体" w:hAnsi="宋体" w:cs="宋体"/>
                <w:color w:val="000000" w:themeColor="text1"/>
                <w:sz w:val="21"/>
                <w:szCs w:val="21"/>
              </w:rPr>
              <w:t>传输速率:10/100/1000Mbps,交换方式:存储-转发,背板带宽≥96Gbps,包转发率≥71.4Mpps；</w:t>
            </w:r>
          </w:p>
          <w:p>
            <w:pPr>
              <w:pStyle w:val="53"/>
              <w:rPr>
                <w:rFonts w:ascii="宋体" w:hAnsi="宋体" w:cs="宋体"/>
                <w:color w:val="000000" w:themeColor="text1"/>
                <w:sz w:val="21"/>
                <w:szCs w:val="21"/>
              </w:rPr>
            </w:pPr>
            <w:r>
              <w:rPr>
                <w:rFonts w:hint="eastAsia" w:ascii="宋体" w:hAnsi="宋体" w:cs="宋体"/>
                <w:color w:val="000000" w:themeColor="text1"/>
                <w:sz w:val="21"/>
                <w:szCs w:val="21"/>
              </w:rPr>
              <w:t>端口描述≥48个10/100/1000Mbps自适应以太网端口；</w:t>
            </w:r>
          </w:p>
          <w:p>
            <w:pPr>
              <w:pStyle w:val="53"/>
              <w:rPr>
                <w:rFonts w:ascii="宋体" w:hAnsi="宋体" w:cs="宋体"/>
                <w:color w:val="000000" w:themeColor="text1"/>
                <w:sz w:val="21"/>
                <w:szCs w:val="21"/>
              </w:rPr>
            </w:pPr>
            <w:r>
              <w:rPr>
                <w:rFonts w:hint="eastAsia" w:ascii="宋体" w:hAnsi="宋体" w:cs="宋体"/>
                <w:color w:val="000000" w:themeColor="text1"/>
                <w:sz w:val="21"/>
                <w:szCs w:val="21"/>
              </w:rPr>
              <w:t>网络标准:IEEE 802.3，IEEE 802.3u，IEEE 802.3x，IEEE 802.3ab；</w:t>
            </w:r>
          </w:p>
          <w:p>
            <w:pPr>
              <w:pStyle w:val="53"/>
              <w:rPr>
                <w:rFonts w:ascii="宋体" w:hAnsi="宋体" w:cs="宋体"/>
                <w:color w:val="000000" w:themeColor="text1"/>
                <w:sz w:val="21"/>
                <w:szCs w:val="21"/>
              </w:rPr>
            </w:pPr>
            <w:r>
              <w:rPr>
                <w:rFonts w:hint="eastAsia" w:ascii="宋体" w:hAnsi="宋体" w:cs="宋体"/>
                <w:color w:val="000000" w:themeColor="text1"/>
                <w:sz w:val="21"/>
                <w:szCs w:val="21"/>
              </w:rPr>
              <w:t>电源电压:AC 100-240V，50-60Hz。</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bl>
    <w:p>
      <w:pPr>
        <w:pStyle w:val="7"/>
        <w:spacing w:line="240" w:lineRule="auto"/>
        <w:rPr>
          <w:rFonts w:ascii="宋体" w:hAnsi="宋体" w:cs="宋体"/>
          <w:color w:val="000000" w:themeColor="text1"/>
          <w:sz w:val="28"/>
          <w:szCs w:val="28"/>
        </w:rPr>
      </w:pPr>
      <w:r>
        <w:rPr>
          <w:rFonts w:hint="eastAsia" w:ascii="宋体" w:hAnsi="宋体" w:cs="宋体"/>
          <w:color w:val="000000" w:themeColor="text1"/>
          <w:sz w:val="28"/>
          <w:szCs w:val="28"/>
        </w:rPr>
        <w:t>4.1.2网络安全综合实验室</w:t>
      </w:r>
    </w:p>
    <w:tbl>
      <w:tblPr>
        <w:tblStyle w:val="45"/>
        <w:tblW w:w="10756" w:type="dxa"/>
        <w:jc w:val="center"/>
        <w:tblLayout w:type="fixed"/>
        <w:tblCellMar>
          <w:top w:w="0" w:type="dxa"/>
          <w:left w:w="0" w:type="dxa"/>
          <w:bottom w:w="0" w:type="dxa"/>
          <w:right w:w="0" w:type="dxa"/>
        </w:tblCellMar>
      </w:tblPr>
      <w:tblGrid>
        <w:gridCol w:w="630"/>
        <w:gridCol w:w="1672"/>
        <w:gridCol w:w="7287"/>
        <w:gridCol w:w="567"/>
        <w:gridCol w:w="600"/>
      </w:tblGrid>
      <w:tr>
        <w:tblPrEx>
          <w:tblCellMar>
            <w:top w:w="0" w:type="dxa"/>
            <w:left w:w="0" w:type="dxa"/>
            <w:bottom w:w="0" w:type="dxa"/>
            <w:right w:w="0" w:type="dxa"/>
          </w:tblCellMar>
        </w:tblPrEx>
        <w:trPr>
          <w:trHeight w:val="574" w:hRule="atLeast"/>
          <w:tblHeader/>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项目名称</w:t>
            </w:r>
          </w:p>
        </w:tc>
        <w:tc>
          <w:tcPr>
            <w:tcW w:w="7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110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防火墙安全实训设备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硬件要求：1U标准机架式设备，配备≥5个千兆电口、≥4个COMBO接口，提供USB接口，配置双冗余交流电源，符合国家标准</w:t>
            </w:r>
            <w:r>
              <w:rPr>
                <w:rFonts w:ascii="宋体" w:hAnsi="宋体" w:cs="宋体"/>
                <w:color w:val="000000" w:themeColor="text1"/>
                <w:kern w:val="0"/>
              </w:rPr>
              <w:t>GB/T 20281-2015</w:t>
            </w:r>
            <w:r>
              <w:rPr>
                <w:rFonts w:hint="eastAsia" w:ascii="宋体" w:hAnsi="宋体" w:cs="宋体"/>
                <w:color w:val="000000" w:themeColor="text1"/>
                <w:kern w:val="0"/>
              </w:rPr>
              <w:t>，并提供检测报告，采用64位MIPS多核架构，采用自主知识产权的64位多核并行安全操作系统。</w:t>
            </w:r>
          </w:p>
          <w:p>
            <w:pPr>
              <w:widowControl/>
              <w:jc w:val="left"/>
              <w:rPr>
                <w:rFonts w:ascii="宋体" w:hAnsi="宋体" w:cs="宋体"/>
                <w:color w:val="000000" w:themeColor="text1"/>
                <w:kern w:val="0"/>
              </w:rPr>
            </w:pPr>
            <w:r>
              <w:rPr>
                <w:rFonts w:hint="eastAsia" w:ascii="宋体" w:hAnsi="宋体" w:cs="宋体"/>
                <w:color w:val="000000" w:themeColor="text1"/>
                <w:kern w:val="0"/>
              </w:rPr>
              <w:t>性能要求：吞吐量≥4Gbps，AV吞吐量≥700Mbps， IPS吞吐量≥1Gbps，IPsec VPN吞吐率≥1Gbps；最大并发连接数≥200万；最大IPsec VPN隧道数≥2000，每秒新建会话≥5万，SSL VPN并发用户数可扩展到至1000个；最大支持的虚拟防火墙个数≥10个；</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功能要求： </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1、支持OSPF、BGP和RIP路由协议，内置运营商路由条目；支持非等价链路的智能链路负载均衡，包括出站动态探测、TCP Track、入站SmartDNS；支持透明、路由、混合三种工作模式，支持双向NAT、动态地址转换和静态地址转换,并且提供网段间的双向静态一对一地址转换功能；支持按照应用、时间、用户账号、IP地址、服务端口、物理端口等方式对数据进行访问控制，要求能主动屏蔽恶意地址，以用于提前免疫包括病毒网站或者攻击源地址的攻击。 </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2、支持智能DNS功能，使外网访问内部服务器的流量可以在多条链路上实现智能分担，支持智能链路负载均衡技术，可动态探测链路响应速度并选择最优链路进行数据转发，支持基于应用的自动链路选择，即根据应用类型来选择将会话路由到不同链路上。 </w:t>
            </w:r>
          </w:p>
          <w:p>
            <w:pPr>
              <w:widowControl/>
              <w:jc w:val="left"/>
              <w:rPr>
                <w:rFonts w:ascii="宋体" w:hAnsi="宋体" w:cs="宋体"/>
                <w:color w:val="000000" w:themeColor="text1"/>
                <w:kern w:val="0"/>
              </w:rPr>
            </w:pPr>
            <w:r>
              <w:rPr>
                <w:rFonts w:hint="eastAsia" w:ascii="宋体" w:hAnsi="宋体" w:cs="宋体"/>
                <w:color w:val="000000" w:themeColor="text1"/>
                <w:kern w:val="0"/>
              </w:rPr>
              <w:t>3、支持虚拟化技术，包括虚拟交换机、虚拟路由器，虚拟防火墙，支持抵御各种DDOS攻击，威胁防护功能可以呈现全球威胁防护地图。</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4、提供开发云运维管理平台软件，实现手机APP实时管理和监控设备运行状况，日志存储功能。 </w:t>
            </w:r>
          </w:p>
          <w:p>
            <w:pPr>
              <w:widowControl/>
              <w:jc w:val="left"/>
              <w:rPr>
                <w:rFonts w:ascii="宋体" w:hAnsi="宋体" w:cs="宋体"/>
                <w:color w:val="000000" w:themeColor="text1"/>
              </w:rPr>
            </w:pPr>
            <w:r>
              <w:rPr>
                <w:rFonts w:hint="eastAsia" w:ascii="宋体" w:hAnsi="宋体" w:cs="宋体"/>
                <w:color w:val="000000" w:themeColor="text1"/>
                <w:kern w:val="0"/>
              </w:rPr>
              <w:t>5、支持AlgoSec和FireMon主流防火墙管理系统，并提供证明材料。支持通过SYSLOG、二进制格式记录NAT日志。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689"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入侵防御安全实训设备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硬件要求：1U标准机架式设备，专业IPS设备，非下一代防火墙或者UTM设备，单电源，标配4个GE接口，支持硬件bypass，配备1个扩展插槽，1T硬盘。</w:t>
            </w:r>
          </w:p>
          <w:p>
            <w:pPr>
              <w:widowControl/>
              <w:jc w:val="left"/>
              <w:rPr>
                <w:rFonts w:ascii="宋体" w:hAnsi="宋体" w:cs="宋体"/>
                <w:color w:val="000000" w:themeColor="text1"/>
                <w:kern w:val="0"/>
              </w:rPr>
            </w:pPr>
            <w:r>
              <w:rPr>
                <w:rFonts w:hint="eastAsia" w:ascii="宋体" w:hAnsi="宋体" w:cs="宋体"/>
                <w:color w:val="000000" w:themeColor="text1"/>
                <w:kern w:val="0"/>
              </w:rPr>
              <w:t>性能要求：整体吞吐≥2.5Gbps，IPS吞吐量≥900Mbps，最大并发连接数≥100万，可扩展至200万，HTTP最大并发连接≥100万，HTTP每秒新建会话≥1万。</w:t>
            </w:r>
          </w:p>
          <w:p>
            <w:pPr>
              <w:widowControl/>
              <w:jc w:val="left"/>
              <w:rPr>
                <w:rFonts w:ascii="宋体" w:hAnsi="宋体" w:cs="宋体"/>
                <w:color w:val="000000" w:themeColor="text1"/>
                <w:kern w:val="0"/>
              </w:rPr>
            </w:pPr>
            <w:r>
              <w:rPr>
                <w:rFonts w:hint="eastAsia" w:ascii="宋体" w:hAnsi="宋体" w:cs="宋体"/>
                <w:color w:val="000000" w:themeColor="text1"/>
                <w:kern w:val="0"/>
              </w:rPr>
              <w:t>入侵防御功能：基于状态、精准的高性能攻击检测和防御，实时攻击源阻断、IP 屏蔽、攻击事件记录；支持针对HTTP、SMTP、IMAP、POP3、VOIP、NETBIOS等20余种协议和应用的攻击检测和防御；支持HTTP Get、Head、Put、Post等多种协议方法检查；提供预定义入侵防御配置模板，支持自定义入侵防御特征 -依据IP、TCP、UDP、IGMP、ICMP等网络层的各项参数设置特征，全面设置TCP/IP应用层的特征比对内容，不受通信协议的限制，支持跨数据包检测机制，包括：比对位移(matching offset)、比对长度(matching depth)、比对距离(matching distance)、比对范围(within)，支持基于流的数据包(stream-based)比对技术；提供7800多种特征的攻击检测和防御，特征库支持网络实时更新，包含3年IPS特征库升级服务。</w:t>
            </w:r>
          </w:p>
          <w:p>
            <w:pPr>
              <w:widowControl/>
              <w:jc w:val="left"/>
              <w:rPr>
                <w:rFonts w:ascii="宋体" w:hAnsi="宋体" w:cs="宋体"/>
                <w:color w:val="000000" w:themeColor="text1"/>
                <w:kern w:val="0"/>
              </w:rPr>
            </w:pPr>
            <w:r>
              <w:rPr>
                <w:rFonts w:hint="eastAsia" w:ascii="宋体" w:hAnsi="宋体" w:cs="宋体"/>
                <w:color w:val="000000" w:themeColor="text1"/>
                <w:kern w:val="0"/>
              </w:rPr>
              <w:t>WEB防护功能：系统具备对网站外链防护功能，系统具备对CC攻击的检测和防御能力，系统具备对跨站脚本攻击的检测和防御能力，系统具备对SQL注入攻击的检测和防御能力，可以对Web服务系统提供保护。</w:t>
            </w:r>
          </w:p>
          <w:p>
            <w:pPr>
              <w:widowControl/>
              <w:rPr>
                <w:rFonts w:ascii="宋体" w:hAnsi="宋体" w:cs="宋体"/>
                <w:color w:val="000000" w:themeColor="text1"/>
              </w:rPr>
            </w:pPr>
            <w:r>
              <w:rPr>
                <w:rFonts w:hint="eastAsia" w:ascii="宋体" w:hAnsi="宋体" w:cs="宋体"/>
                <w:color w:val="000000" w:themeColor="text1"/>
                <w:kern w:val="0"/>
              </w:rPr>
              <w:t>报表功能：支持报表，报表需要包含多视角,提供安全风险概览、安全风险详情、威胁类型、网络流量分析、系统运行状况不同维度报表，丰富的威胁日志内容，包含CVE-ID、漏洞描述信息和解决方案。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29"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入侵检测实训设备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硬件要求：1U标准机架式设备，专业IDS设备，单电源，标配4个GE接口，支持硬件bypass，配备1个扩展插槽，1T硬盘。</w:t>
            </w:r>
          </w:p>
          <w:p>
            <w:pPr>
              <w:widowControl/>
              <w:jc w:val="left"/>
              <w:rPr>
                <w:rFonts w:ascii="宋体" w:hAnsi="宋体" w:cs="宋体"/>
                <w:color w:val="000000" w:themeColor="text1"/>
                <w:kern w:val="0"/>
              </w:rPr>
            </w:pPr>
            <w:r>
              <w:rPr>
                <w:rFonts w:hint="eastAsia" w:ascii="宋体" w:hAnsi="宋体" w:cs="宋体"/>
                <w:color w:val="000000" w:themeColor="text1"/>
                <w:kern w:val="0"/>
              </w:rPr>
              <w:t>性能要求：整体吞吐≥2.5Gbps，IPS吞吐量≥900Mbps，最大并发连接数≥100万，可扩展至200万，HTTP最大并发连接≥100万，HTTP每秒新建会话≥1万。</w:t>
            </w:r>
          </w:p>
          <w:p>
            <w:pPr>
              <w:widowControl/>
              <w:jc w:val="left"/>
              <w:rPr>
                <w:rFonts w:ascii="宋体" w:hAnsi="宋体" w:cs="宋体"/>
                <w:color w:val="000000" w:themeColor="text1"/>
                <w:kern w:val="0"/>
              </w:rPr>
            </w:pPr>
            <w:r>
              <w:rPr>
                <w:rFonts w:hint="eastAsia" w:ascii="宋体" w:hAnsi="宋体" w:cs="宋体"/>
                <w:color w:val="000000" w:themeColor="text1"/>
                <w:kern w:val="0"/>
              </w:rPr>
              <w:t>入侵检测功能：基于状态、精准的高性能攻击检测，实时攻击源、攻击事件记录；支持针对HTTP、SMTP、IMAP、POP3、VOIP、NETBIOS等20余种协议和应用的攻击检测；支持HTTP Get、Head、Put、Post等多种协议方法检查；提供预定义入侵检测配置模板，支持自定义入侵检测特征 -依据IP、TCP、UDP、IGMP、ICMP等网络层的各项参数设置特征，全面设置TCP/IP应用层的特征比对内容，不受通信协议的限制，支持跨数据包检测机制，包括：比对位移(matching offset)、比对长度(matching depth)、比对距离(matching distance)、比对范围(within)，支持基于流的数据包(stream-based)比对技术；提供7800多种特征的攻击检测，特征库支持网络实时更新，包含3年IPS特征库升级服务。</w:t>
            </w:r>
          </w:p>
          <w:p>
            <w:pPr>
              <w:widowControl/>
              <w:jc w:val="left"/>
              <w:rPr>
                <w:rFonts w:ascii="宋体" w:hAnsi="宋体" w:cs="宋体"/>
                <w:color w:val="000000" w:themeColor="text1"/>
                <w:kern w:val="0"/>
              </w:rPr>
            </w:pPr>
            <w:r>
              <w:rPr>
                <w:rFonts w:hint="eastAsia" w:ascii="宋体" w:hAnsi="宋体" w:cs="宋体"/>
                <w:color w:val="000000" w:themeColor="text1"/>
                <w:kern w:val="0"/>
              </w:rPr>
              <w:t>WEB攻击检测：系统具备对网站外链检测功能，系统具备对CC攻击的检测能力，系统具备对跨站脚本攻击的检测能力，系统具备对SQL注入攻击的检测能力，可以对Web服务系统提供保护。</w:t>
            </w:r>
          </w:p>
          <w:p>
            <w:pPr>
              <w:widowControl/>
              <w:rPr>
                <w:rFonts w:ascii="宋体" w:hAnsi="宋体" w:cs="宋体"/>
                <w:color w:val="000000" w:themeColor="text1"/>
              </w:rPr>
            </w:pPr>
            <w:r>
              <w:rPr>
                <w:rFonts w:hint="eastAsia" w:ascii="宋体" w:hAnsi="宋体" w:cs="宋体"/>
                <w:color w:val="000000" w:themeColor="text1"/>
                <w:kern w:val="0"/>
              </w:rPr>
              <w:t>报表功能：支持报表，报表需要包含多视角,提供安全风险概览、安全风险详情、威胁类型、网络流量分析、系统运行状况不同维度报表，丰富的威胁日志内容，包含CVE-ID、漏洞描述信息和解决方案。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6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网站防火墙实训设备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硬件要求：1U标准机架式设备，产品为专业的WEB应用防护系统产品，单电源；1个RJ45串口，2个USB口，配置6个千兆电口含1个MGT口及1个HA口，配置1个扩展插槽，可扩展IOC-W-4GE-B-L，IOC-W-4SFP-L；</w:t>
            </w:r>
          </w:p>
          <w:p>
            <w:pPr>
              <w:widowControl/>
              <w:jc w:val="left"/>
              <w:rPr>
                <w:rFonts w:ascii="宋体" w:hAnsi="宋体" w:cs="宋体"/>
                <w:color w:val="000000" w:themeColor="text1"/>
                <w:kern w:val="0"/>
              </w:rPr>
            </w:pPr>
            <w:r>
              <w:rPr>
                <w:rFonts w:hint="eastAsia" w:ascii="宋体" w:hAnsi="宋体" w:cs="宋体"/>
                <w:color w:val="000000" w:themeColor="text1"/>
                <w:kern w:val="0"/>
              </w:rPr>
              <w:t>整机吞吐5Gbps，HTTP应用吞吐量600Mbps，TCP并发连接50万，HTTP并发连接10万，HTTP新建连接6000；硬盘大于1TB。</w:t>
            </w:r>
          </w:p>
          <w:p>
            <w:pPr>
              <w:widowControl/>
              <w:jc w:val="left"/>
              <w:rPr>
                <w:rFonts w:ascii="宋体" w:hAnsi="宋体" w:cs="宋体"/>
                <w:color w:val="000000" w:themeColor="text1"/>
                <w:kern w:val="0"/>
              </w:rPr>
            </w:pPr>
            <w:r>
              <w:rPr>
                <w:rFonts w:hint="eastAsia" w:ascii="宋体" w:hAnsi="宋体" w:cs="宋体"/>
                <w:color w:val="000000" w:themeColor="text1"/>
                <w:kern w:val="0"/>
              </w:rPr>
              <w:t>功能要求：</w:t>
            </w:r>
          </w:p>
          <w:p>
            <w:pPr>
              <w:widowControl/>
              <w:jc w:val="left"/>
              <w:rPr>
                <w:rFonts w:ascii="宋体" w:hAnsi="宋体" w:cs="宋体"/>
                <w:b/>
                <w:color w:val="000000" w:themeColor="text1"/>
                <w:kern w:val="0"/>
              </w:rPr>
            </w:pPr>
            <w:r>
              <w:rPr>
                <w:rFonts w:hint="eastAsia" w:ascii="宋体" w:hAnsi="宋体" w:cs="宋体"/>
                <w:color w:val="000000" w:themeColor="text1"/>
                <w:kern w:val="0"/>
              </w:rPr>
              <w:t>系统具备DDoS攻击防御能力，系统具备注入攻击防御能力，可以对SQL注入、LDAP注入、SSI指令注入、Xpath注入、命令注入、远程文件包含以及其他注入进行防御，系统具备跨站攻击防御能力，可以对XSS和CSRF攻击进行防御，系统具备信息泄露防御能力，可以防止服务器错误、数据库错误、Web目录内容、程序代码、关键字等信息的泄露</w:t>
            </w:r>
            <w:r>
              <w:rPr>
                <w:rFonts w:hint="eastAsia" w:ascii="宋体" w:hAnsi="宋体" w:cs="宋体"/>
                <w:b/>
                <w:color w:val="000000" w:themeColor="text1"/>
                <w:kern w:val="0"/>
              </w:rPr>
              <w:t>；</w:t>
            </w:r>
          </w:p>
          <w:p>
            <w:pPr>
              <w:widowControl/>
              <w:jc w:val="left"/>
              <w:rPr>
                <w:rFonts w:ascii="宋体" w:hAnsi="宋体" w:cs="宋体"/>
                <w:color w:val="000000" w:themeColor="text1"/>
                <w:kern w:val="0"/>
              </w:rPr>
            </w:pPr>
            <w:r>
              <w:rPr>
                <w:rFonts w:hint="eastAsia" w:ascii="宋体" w:hAnsi="宋体" w:cs="宋体"/>
                <w:color w:val="000000" w:themeColor="text1"/>
                <w:kern w:val="0"/>
              </w:rPr>
              <w:t>系统具备保护Cookie安全能力，可以防止Cookie被恶意篡改、Cookie被恶意劫持，系统具备Web访问控制能力，可以对扫描器的扫描行为、爬虫行为、目录遍历行为进行防御，系统具备特殊漏洞攻击防御能力，可以对针对Web服务器、Web框架、Web应用程序的漏洞攻击进行防御，系统具备防御资源非法访问能力，可以对非法上传、非法下载和盗链攻击进行防御，系统具备恶意软件防御能力，可以对Web Shell、木马攻击等进行防御；</w:t>
            </w:r>
          </w:p>
          <w:p>
            <w:pPr>
              <w:widowControl/>
              <w:jc w:val="left"/>
              <w:rPr>
                <w:rFonts w:ascii="宋体" w:hAnsi="宋体" w:cs="宋体"/>
                <w:color w:val="000000" w:themeColor="text1"/>
                <w:kern w:val="0"/>
              </w:rPr>
            </w:pPr>
            <w:r>
              <w:rPr>
                <w:rFonts w:hint="eastAsia" w:ascii="宋体" w:hAnsi="宋体" w:cs="宋体"/>
                <w:color w:val="000000" w:themeColor="text1"/>
                <w:kern w:val="0"/>
              </w:rPr>
              <w:t>支持IPv4、IPv6双栈部署，可同时添加IPv4和IPv6地址为保护站点；</w:t>
            </w:r>
          </w:p>
          <w:p>
            <w:pPr>
              <w:widowControl/>
              <w:jc w:val="left"/>
              <w:rPr>
                <w:rFonts w:ascii="宋体" w:hAnsi="宋体" w:cs="宋体"/>
                <w:color w:val="000000" w:themeColor="text1"/>
              </w:rPr>
            </w:pPr>
            <w:r>
              <w:rPr>
                <w:rFonts w:hint="eastAsia" w:ascii="宋体" w:hAnsi="宋体" w:cs="宋体"/>
                <w:color w:val="000000" w:themeColor="text1"/>
                <w:kern w:val="0"/>
              </w:rPr>
              <w:t>网页防篡改支持学习模式和保护模式两种运行模式，支持自定义防护的静态网页类型，支持内置同步引擎同步服务器内容并建立基线，支持篡改监控和正常修改监控，支持篡改内容取证；网络层安全防护支持整机Flood攻击防护（Syn Flood、UDP Flood、ICMP Flood等）、扫描/欺骗攻击防护、DoS攻击防护、代理攻击防护等；部署模式支持透明串接部署，支持反向代理部署，支持单臂部署模式，支持牵引部署模式，含PBR回注和跨接回注；高可用支持HA-AP双机热备功能，通过内置或外置的组件，支持断电Bypass功能，所有标配业务电口都支持硬件Bypass功能；应用加速支持Web Cache功能，支持SSL卸载；负载均衡支持SLB，支持加权轮询、最少连接以及IP Hash算法；报表功能需要包含多视角,提供安全风险概览、站点风险详情、攻击类型详情、站点篡改分析、站点访问量、网络层攻击汇总、系统运行状况不同维度报表；特征库可以通过人工或者自动方式进行升级，升级过程中不需重启设备，并能保持原有会话连接不中断。</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110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VPN实训设备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硬件要求：1U标准机架式设备，配备≥9个千兆电口，支持双冗余交流电源，符合国家标准GB/T 17626.5：2008第三级及以上标准，并提供检测报告，采用64位MIPS多核架构，采用自主知识产权的64位多核并行安全操作系统。</w:t>
            </w:r>
          </w:p>
          <w:p>
            <w:pPr>
              <w:widowControl/>
              <w:jc w:val="left"/>
              <w:rPr>
                <w:rFonts w:ascii="宋体" w:hAnsi="宋体" w:cs="宋体"/>
                <w:color w:val="000000" w:themeColor="text1"/>
                <w:kern w:val="0"/>
              </w:rPr>
            </w:pPr>
            <w:r>
              <w:rPr>
                <w:rFonts w:hint="eastAsia" w:ascii="宋体" w:hAnsi="宋体" w:cs="宋体"/>
                <w:color w:val="000000" w:themeColor="text1"/>
                <w:kern w:val="0"/>
              </w:rPr>
              <w:t>性能要求：</w:t>
            </w:r>
          </w:p>
          <w:p>
            <w:pPr>
              <w:widowControl/>
              <w:jc w:val="left"/>
              <w:rPr>
                <w:rFonts w:ascii="宋体" w:hAnsi="宋体" w:cs="宋体"/>
                <w:color w:val="000000" w:themeColor="text1"/>
                <w:kern w:val="0"/>
              </w:rPr>
            </w:pPr>
            <w:r>
              <w:rPr>
                <w:rFonts w:hint="eastAsia" w:ascii="宋体" w:hAnsi="宋体" w:cs="宋体"/>
                <w:color w:val="000000" w:themeColor="text1"/>
                <w:kern w:val="0"/>
              </w:rPr>
              <w:t>IPsec VPN吞吐率≥600Mbps；最大并发连接数≥40万；最大IPsec VPN隧道数≥1000，每秒新建会话≥1.2万，SSL VPN并发用户数可扩展到至500个；</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功能要求： </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1、支持OSPF、BGP和RIP路由协议，内置运营商路由条目；支持非等价链路的智能链路负载均衡，包括出站动态探测、TCP Track、入站SmartDNS；支持透明、路由、混合三种工作模式，支持双向NAT、动态地址转换和静态地址转换,并且提供网段间的双向静态一对一地址转换功能；支持按照应用、时间、用户账号、IP地址、服务端口、物理端口等方式对数据进行访问控制，要求能主动屏蔽恶意地址，以用于提前免疫包括病毒网站或者攻击源地址的攻击。 </w:t>
            </w:r>
          </w:p>
          <w:p>
            <w:pPr>
              <w:widowControl/>
              <w:jc w:val="left"/>
              <w:rPr>
                <w:rFonts w:ascii="宋体" w:hAnsi="宋体" w:cs="宋体"/>
                <w:b/>
                <w:color w:val="000000" w:themeColor="text1"/>
                <w:kern w:val="0"/>
              </w:rPr>
            </w:pPr>
            <w:r>
              <w:rPr>
                <w:rFonts w:hint="eastAsia" w:ascii="宋体" w:hAnsi="宋体" w:cs="宋体"/>
                <w:color w:val="000000" w:themeColor="text1"/>
                <w:kern w:val="0"/>
              </w:rPr>
              <w:t>2、IPSec VPN严格遵循RFC国际标准，可于主流VPN厂商互通，支持DH组的秘钥交换方式，支持group 1、2、5、14、15、16等类型</w:t>
            </w:r>
          </w:p>
          <w:p>
            <w:pPr>
              <w:widowControl/>
              <w:jc w:val="left"/>
              <w:rPr>
                <w:rFonts w:ascii="宋体" w:hAnsi="宋体" w:cs="宋体"/>
                <w:color w:val="000000" w:themeColor="text1"/>
                <w:kern w:val="0"/>
              </w:rPr>
            </w:pPr>
            <w:r>
              <w:rPr>
                <w:rFonts w:hint="eastAsia" w:ascii="宋体" w:hAnsi="宋体" w:cs="宋体"/>
                <w:color w:val="000000" w:themeColor="text1"/>
                <w:kern w:val="0"/>
              </w:rPr>
              <w:t>。</w:t>
            </w:r>
          </w:p>
          <w:p>
            <w:pPr>
              <w:widowControl/>
              <w:jc w:val="left"/>
              <w:rPr>
                <w:rFonts w:ascii="宋体" w:hAnsi="宋体" w:cs="宋体"/>
                <w:color w:val="000000" w:themeColor="text1"/>
                <w:kern w:val="0"/>
              </w:rPr>
            </w:pPr>
            <w:r>
              <w:rPr>
                <w:rFonts w:hint="eastAsia" w:ascii="宋体" w:hAnsi="宋体" w:cs="宋体"/>
                <w:color w:val="000000" w:themeColor="text1"/>
                <w:kern w:val="0"/>
              </w:rPr>
              <w:t>3、SSL VPN支持32位和64位Windows 2000/2003/XP/Vista/Windows 7/Windows 8/IOS/Android操作系统VPN接入，支持对登录SSL VPN的用户端系统进行端点安全检查，至少包括文件路径、运行进程、安装服务、运行服务、防火墙、防间谍软件、防病毒软件、自动更新、注册表键值、系统版本、系统补丁、浏览器版本、浏览器安全级别设置等方面。</w:t>
            </w:r>
          </w:p>
          <w:p>
            <w:pPr>
              <w:widowControl/>
              <w:jc w:val="left"/>
              <w:rPr>
                <w:rFonts w:ascii="宋体" w:hAnsi="宋体" w:cs="宋体"/>
                <w:color w:val="000000" w:themeColor="text1"/>
                <w:kern w:val="0"/>
              </w:rPr>
            </w:pPr>
            <w:r>
              <w:rPr>
                <w:rFonts w:hint="eastAsia" w:ascii="宋体" w:hAnsi="宋体" w:cs="宋体"/>
                <w:color w:val="000000" w:themeColor="text1"/>
                <w:kern w:val="0"/>
              </w:rPr>
              <w:t xml:space="preserve">4、提供开发云运维管理平台软件，实现手机APP实时管理和监控设备运行状况，日志存储功能。 </w:t>
            </w:r>
          </w:p>
          <w:p>
            <w:pPr>
              <w:widowControl/>
              <w:rPr>
                <w:rFonts w:ascii="宋体" w:hAnsi="宋体" w:cs="宋体"/>
                <w:color w:val="000000" w:themeColor="text1"/>
              </w:rPr>
            </w:pPr>
            <w:r>
              <w:rPr>
                <w:rFonts w:hint="eastAsia" w:ascii="宋体" w:hAnsi="宋体" w:cs="宋体"/>
                <w:color w:val="000000" w:themeColor="text1"/>
                <w:kern w:val="0"/>
              </w:rPr>
              <w:t>5、支持AlgoSec和FireMon主流防火墙管理系统，并提供证明材料。支持通过SYSLOG、二进制格式记录NAT日志。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83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日志审计实训设备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专业的网络安全审计系统，收集存储网络行为、流量分析及网络安全日志内容，收集并存储服务器，交换机和现有的网络安全设备的日志，实现对所有网络访问行为的安全审计及统计分析、报表管理，实现对防火墙/IPS设备的状态监测、性能分析等功能，配置2个10/100/1000Base-T接口，单电源。</w:t>
            </w:r>
          </w:p>
          <w:p>
            <w:pPr>
              <w:widowControl/>
              <w:jc w:val="left"/>
              <w:rPr>
                <w:rFonts w:ascii="宋体" w:hAnsi="宋体" w:cs="宋体"/>
                <w:color w:val="000000" w:themeColor="text1"/>
                <w:kern w:val="0"/>
              </w:rPr>
            </w:pPr>
            <w:r>
              <w:rPr>
                <w:rFonts w:hint="eastAsia" w:ascii="宋体" w:hAnsi="宋体" w:cs="宋体"/>
                <w:color w:val="000000" w:themeColor="text1"/>
                <w:kern w:val="0"/>
              </w:rPr>
              <w:t>性能要求：二进制NAT日志处理速度不少于30,000EPS；syslog日志处理速度不少于3000EPS；在线日志查询速度＜20s；存储空间≧2TB（RAID0）。</w:t>
            </w:r>
          </w:p>
          <w:p>
            <w:pPr>
              <w:widowControl/>
              <w:jc w:val="left"/>
              <w:rPr>
                <w:rFonts w:ascii="宋体" w:hAnsi="宋体" w:cs="宋体"/>
                <w:color w:val="000000" w:themeColor="text1"/>
                <w:kern w:val="0"/>
              </w:rPr>
            </w:pPr>
            <w:r>
              <w:rPr>
                <w:rFonts w:hint="eastAsia" w:ascii="宋体" w:hAnsi="宋体" w:cs="宋体"/>
                <w:color w:val="000000" w:themeColor="text1"/>
                <w:kern w:val="0"/>
              </w:rPr>
              <w:t>支持日志类型：支持NAT日志包括时间、用户名、MAC、转换前后IP、端口等元素；支持NAT444日志包括时间、转换后IP/端口、源IP/端口、第一个/最后一个源端口、协议类型等元素；支持安全网关、IPS设备以及防病毒设备的攻击日志、入侵防御日志、病毒日志等。全面支持Syslog、SNMP日志协议，可以覆盖主流硬件设备、服务器、交换机、主机及应用，保障日志信息的全面收集。实现信息资产（网络设备、安全设备、主机）的日志获取，并通过预置的解析规则实现日志的解析、过滤及聚合。</w:t>
            </w:r>
          </w:p>
          <w:p>
            <w:pPr>
              <w:widowControl/>
              <w:jc w:val="left"/>
              <w:rPr>
                <w:rFonts w:ascii="宋体" w:hAnsi="宋体" w:cs="宋体"/>
                <w:color w:val="000000" w:themeColor="text1"/>
                <w:kern w:val="0"/>
              </w:rPr>
            </w:pPr>
            <w:r>
              <w:rPr>
                <w:rFonts w:hint="eastAsia" w:ascii="宋体" w:hAnsi="宋体" w:cs="宋体"/>
                <w:color w:val="000000" w:themeColor="text1"/>
                <w:kern w:val="0"/>
              </w:rPr>
              <w:t>日志备份：支持手动、自动方式的日志导入、导出，支持单独导出NAT日志、会话日志、安全功能日志等；支持SFTP日志转存；支持查询匹配条目导出。</w:t>
            </w:r>
          </w:p>
          <w:p>
            <w:pPr>
              <w:widowControl/>
              <w:jc w:val="left"/>
              <w:rPr>
                <w:rFonts w:ascii="宋体" w:hAnsi="宋体" w:cs="宋体"/>
                <w:color w:val="000000" w:themeColor="text1"/>
                <w:kern w:val="0"/>
              </w:rPr>
            </w:pPr>
            <w:r>
              <w:rPr>
                <w:rFonts w:hint="eastAsia" w:ascii="宋体" w:hAnsi="宋体" w:cs="宋体"/>
                <w:color w:val="000000" w:themeColor="text1"/>
                <w:kern w:val="0"/>
              </w:rPr>
              <w:t>监控：支持监控磁盘使用情况、日志接收情况；支持定制条件邮件告警；</w:t>
            </w:r>
          </w:p>
          <w:p>
            <w:pPr>
              <w:widowControl/>
              <w:rPr>
                <w:rFonts w:ascii="宋体" w:hAnsi="宋体" w:cs="宋体"/>
                <w:color w:val="000000" w:themeColor="text1"/>
              </w:rPr>
            </w:pPr>
            <w:r>
              <w:rPr>
                <w:rFonts w:hint="eastAsia" w:ascii="宋体" w:hAnsi="宋体" w:cs="宋体"/>
                <w:color w:val="000000" w:themeColor="text1"/>
                <w:kern w:val="0"/>
              </w:rPr>
              <w:t>管理：支持多用户并发登陆；支持本地/远程系统升级。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115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7</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szCs w:val="20"/>
              </w:rPr>
              <w:t>★</w:t>
            </w:r>
            <w:r>
              <w:rPr>
                <w:rFonts w:hint="eastAsia" w:ascii="宋体" w:hAnsi="宋体" w:cs="宋体"/>
                <w:color w:val="000000" w:themeColor="text1"/>
                <w:kern w:val="0"/>
              </w:rPr>
              <w:t>漏洞扫描设备实训设备</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硬件要求：1U标准机架式设备，配备≥6个千兆电口、≥4个USB接口、1个RJ45串口、1个DB9串口、单电源。系统漏洞扫描（支持512个扫描对象范围）；单个扫描任务最多包含2048个IP地址（8个C类网段）；最大允许并发扫描80个主机；最大允许5个扫描任务并发。</w:t>
            </w:r>
          </w:p>
          <w:p>
            <w:pPr>
              <w:widowControl/>
              <w:jc w:val="left"/>
              <w:rPr>
                <w:rFonts w:ascii="宋体" w:hAnsi="宋体" w:cs="宋体"/>
                <w:color w:val="000000" w:themeColor="text1"/>
                <w:kern w:val="0"/>
              </w:rPr>
            </w:pPr>
            <w:r>
              <w:rPr>
                <w:rFonts w:hint="eastAsia" w:ascii="宋体" w:hAnsi="宋体" w:cs="宋体"/>
                <w:color w:val="000000" w:themeColor="text1"/>
                <w:kern w:val="0"/>
              </w:rPr>
              <w:t>功能参数：</w:t>
            </w:r>
          </w:p>
          <w:p>
            <w:pPr>
              <w:widowControl/>
              <w:jc w:val="left"/>
              <w:rPr>
                <w:rFonts w:ascii="宋体" w:hAnsi="宋体" w:cs="宋体"/>
                <w:color w:val="000000" w:themeColor="text1"/>
                <w:kern w:val="0"/>
              </w:rPr>
            </w:pPr>
            <w:r>
              <w:rPr>
                <w:rFonts w:hint="eastAsia" w:ascii="宋体" w:hAnsi="宋体" w:cs="宋体"/>
                <w:color w:val="000000" w:themeColor="text1"/>
                <w:kern w:val="0"/>
              </w:rPr>
              <w:t>能够对主流的操作系统、应用服务、数据库和网络设备四个方面进行漏洞扫描和分析。系统漏洞知识库的检测脚本大于82000多条。支持智能服务识别、授权登录扫描、安全优化扫描等技术。包括资产探测管理、系统漏洞扫描、弱口令猜解、漏洞大屏展示等功能。系统提供了详细的漏洞描述和对应的修补措施及安全建议，方便用户全面发现信息系统中存在的安全漏洞，防患于未然。</w:t>
            </w:r>
          </w:p>
          <w:p>
            <w:pPr>
              <w:widowControl/>
              <w:jc w:val="left"/>
              <w:rPr>
                <w:rFonts w:ascii="宋体" w:hAnsi="宋体" w:cs="宋体"/>
                <w:color w:val="000000" w:themeColor="text1"/>
                <w:kern w:val="0"/>
              </w:rPr>
            </w:pPr>
            <w:r>
              <w:rPr>
                <w:rFonts w:hint="eastAsia" w:ascii="宋体" w:hAnsi="宋体" w:cs="宋体"/>
                <w:color w:val="000000" w:themeColor="text1"/>
                <w:kern w:val="0"/>
              </w:rPr>
              <w:t>支持系统漏洞扫描，系统漏洞知识库的检测脚本大于82000多条。支持智能服务识别、授权登录扫描、安全优化扫描等技术。</w:t>
            </w:r>
          </w:p>
          <w:p>
            <w:pPr>
              <w:widowControl/>
              <w:jc w:val="left"/>
              <w:rPr>
                <w:rFonts w:ascii="宋体" w:hAnsi="宋体" w:cs="宋体"/>
                <w:color w:val="000000" w:themeColor="text1"/>
                <w:kern w:val="0"/>
              </w:rPr>
            </w:pPr>
            <w:r>
              <w:rPr>
                <w:rFonts w:hint="eastAsia" w:ascii="宋体" w:hAnsi="宋体" w:cs="宋体"/>
                <w:color w:val="000000" w:themeColor="text1"/>
                <w:kern w:val="0"/>
              </w:rPr>
              <w:t>支持弱口令扫描，支持SSH、TELNET、SMB、RDP、FTP、POP3、SMTP、SNMP、REDIS、ORACLE、MSSQL、MYSQL、RTSP、SIP、S7-300、VNC等20多种协议；支持恶意代码检测，支持木马后门的离线检查，支持网站恶意代码的离线检查；支持资产探测管理，每周至少升级一次，报表格式支持HTML、DOC、PDF、XML等；支持脆弱性大屏展示，支持通过大屏展示各类漏洞地理分布情况，资产统计，漏洞统计，最新漏洞，风险趋势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1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8</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网络机柜</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容量：12U，门及门锁：有，材料及工艺：SPC优质冷轧钢，脱脂静电喷塑</w:t>
            </w:r>
          </w:p>
          <w:p>
            <w:pPr>
              <w:widowControl/>
              <w:jc w:val="left"/>
              <w:rPr>
                <w:rFonts w:ascii="宋体" w:hAnsi="宋体" w:cs="宋体"/>
                <w:color w:val="000000" w:themeColor="text1"/>
                <w:kern w:val="0"/>
              </w:rPr>
            </w:pPr>
            <w:r>
              <w:rPr>
                <w:rFonts w:hint="eastAsia" w:ascii="宋体" w:hAnsi="宋体" w:cs="宋体"/>
                <w:color w:val="000000" w:themeColor="text1"/>
                <w:kern w:val="0"/>
              </w:rPr>
              <w:t>标准</w:t>
            </w:r>
            <w:r>
              <w:rPr>
                <w:rFonts w:hint="eastAsia" w:ascii="宋体" w:hAnsi="宋体" w:cs="宋体"/>
                <w:color w:val="000000" w:themeColor="text1"/>
                <w:kern w:val="0"/>
              </w:rPr>
              <w:tab/>
            </w:r>
            <w:r>
              <w:rPr>
                <w:rFonts w:hint="eastAsia" w:ascii="宋体" w:hAnsi="宋体" w:cs="宋体"/>
                <w:color w:val="000000" w:themeColor="text1"/>
                <w:kern w:val="0"/>
              </w:rPr>
              <w:t>符合ANSI/EIA RS-310-D，IEC297-2DIN41491PART1，DIN41494；PART7GB/T3047.2-92标准，兼容EISI</w:t>
            </w:r>
          </w:p>
          <w:p>
            <w:pPr>
              <w:widowControl/>
              <w:jc w:val="left"/>
              <w:rPr>
                <w:rFonts w:ascii="宋体" w:hAnsi="宋体" w:cs="宋体"/>
                <w:color w:val="000000" w:themeColor="text1"/>
                <w:kern w:val="0"/>
              </w:rPr>
            </w:pPr>
            <w:r>
              <w:rPr>
                <w:rFonts w:hint="eastAsia" w:ascii="宋体" w:hAnsi="宋体" w:cs="宋体"/>
                <w:color w:val="000000" w:themeColor="text1"/>
                <w:kern w:val="0"/>
              </w:rPr>
              <w:t>材料及工艺</w:t>
            </w:r>
            <w:r>
              <w:rPr>
                <w:rFonts w:hint="eastAsia" w:ascii="宋体" w:hAnsi="宋体" w:cs="宋体"/>
                <w:color w:val="000000" w:themeColor="text1"/>
                <w:kern w:val="0"/>
              </w:rPr>
              <w:tab/>
            </w:r>
            <w:r>
              <w:rPr>
                <w:rFonts w:hint="eastAsia" w:ascii="宋体" w:hAnsi="宋体" w:cs="宋体"/>
                <w:color w:val="000000" w:themeColor="text1"/>
                <w:kern w:val="0"/>
              </w:rPr>
              <w:t>SPC优质冷轧钢，脱脂静电喷塑</w:t>
            </w:r>
          </w:p>
          <w:p>
            <w:pPr>
              <w:widowControl/>
              <w:jc w:val="left"/>
              <w:rPr>
                <w:rFonts w:ascii="宋体" w:hAnsi="宋体" w:cs="宋体"/>
                <w:color w:val="000000" w:themeColor="text1"/>
                <w:kern w:val="0"/>
              </w:rPr>
            </w:pPr>
            <w:r>
              <w:rPr>
                <w:rFonts w:hint="eastAsia" w:ascii="宋体" w:hAnsi="宋体" w:cs="宋体"/>
                <w:color w:val="000000" w:themeColor="text1"/>
                <w:kern w:val="0"/>
              </w:rPr>
              <w:t>外观参数（长*宽*深）：700mm*550mm*450mm</w:t>
            </w:r>
          </w:p>
          <w:p>
            <w:pPr>
              <w:widowControl/>
              <w:jc w:val="left"/>
              <w:rPr>
                <w:rFonts w:ascii="宋体" w:hAnsi="宋体" w:cs="宋体"/>
                <w:color w:val="000000" w:themeColor="text1"/>
                <w:kern w:val="0"/>
              </w:rPr>
            </w:pPr>
            <w:r>
              <w:rPr>
                <w:rFonts w:hint="eastAsia" w:ascii="宋体" w:hAnsi="宋体" w:cs="宋体"/>
                <w:color w:val="000000" w:themeColor="text1"/>
                <w:kern w:val="0"/>
              </w:rPr>
              <w:t>标准标配：托盘×1，12U立柱×4，脚轮×4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3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9</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接入交换机</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传输速率:10/100/1000Mbps,交换方式:存储-转发,背板带宽≥96Gbps,包转发率≥71.4Mpps</w:t>
            </w:r>
          </w:p>
          <w:p>
            <w:pPr>
              <w:widowControl/>
              <w:jc w:val="left"/>
              <w:rPr>
                <w:rFonts w:ascii="宋体" w:hAnsi="宋体" w:cs="宋体"/>
                <w:color w:val="000000" w:themeColor="text1"/>
                <w:kern w:val="0"/>
              </w:rPr>
            </w:pPr>
            <w:r>
              <w:rPr>
                <w:rFonts w:hint="eastAsia" w:ascii="宋体" w:hAnsi="宋体" w:cs="宋体"/>
                <w:color w:val="000000" w:themeColor="text1"/>
                <w:kern w:val="0"/>
              </w:rPr>
              <w:t>端口描述≥48个10/100/1000Mbps自适应以太网端口</w:t>
            </w:r>
          </w:p>
          <w:p>
            <w:pPr>
              <w:widowControl/>
              <w:jc w:val="left"/>
              <w:rPr>
                <w:rFonts w:ascii="宋体" w:hAnsi="宋体" w:cs="宋体"/>
                <w:color w:val="000000" w:themeColor="text1"/>
                <w:kern w:val="0"/>
              </w:rPr>
            </w:pPr>
            <w:r>
              <w:rPr>
                <w:rFonts w:hint="eastAsia" w:ascii="宋体" w:hAnsi="宋体" w:cs="宋体"/>
                <w:color w:val="000000" w:themeColor="text1"/>
                <w:kern w:val="0"/>
              </w:rPr>
              <w:t>功能特性:</w:t>
            </w:r>
          </w:p>
          <w:p>
            <w:pPr>
              <w:widowControl/>
              <w:jc w:val="left"/>
              <w:rPr>
                <w:rFonts w:ascii="宋体" w:hAnsi="宋体" w:cs="宋体"/>
                <w:color w:val="000000" w:themeColor="text1"/>
                <w:kern w:val="0"/>
              </w:rPr>
            </w:pPr>
            <w:r>
              <w:rPr>
                <w:rFonts w:hint="eastAsia" w:ascii="宋体" w:hAnsi="宋体" w:cs="宋体"/>
                <w:color w:val="000000" w:themeColor="text1"/>
                <w:kern w:val="0"/>
              </w:rPr>
              <w:t>网络标准:IEEE 802.3，IEEE 802.3u，IEEE 802.3x，IEEE 802.3ab</w:t>
            </w:r>
          </w:p>
          <w:p>
            <w:pPr>
              <w:widowControl/>
              <w:jc w:val="left"/>
              <w:rPr>
                <w:rFonts w:ascii="宋体" w:hAnsi="宋体" w:cs="宋体"/>
                <w:color w:val="000000" w:themeColor="text1"/>
                <w:kern w:val="0"/>
              </w:rPr>
            </w:pPr>
            <w:r>
              <w:rPr>
                <w:rFonts w:hint="eastAsia" w:ascii="宋体" w:hAnsi="宋体" w:cs="宋体"/>
                <w:color w:val="000000" w:themeColor="text1"/>
                <w:kern w:val="0"/>
              </w:rPr>
              <w:t>电源电压:AC 100-240V，50-60Hz</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9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可视化大屏</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82寸展示大屏，,屏幕分辨率:超高清4K,HDR显示:支持，背光源：LED，背光方式：直下式，支持格式（高清）：2160p，核心参数：CPU4核，运行内存：≥2GB，存储内存：≥8GB，端口参数：支持USB2.0接口、支持HDMI2.0接口，单屏尺寸（宽*高）mm：至少1686x970。提供节能、3C证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bl>
    <w:p>
      <w:pPr>
        <w:pStyle w:val="7"/>
        <w:spacing w:line="240" w:lineRule="auto"/>
        <w:rPr>
          <w:rFonts w:ascii="宋体" w:hAnsi="宋体" w:cs="宋体"/>
          <w:color w:val="000000" w:themeColor="text1"/>
          <w:sz w:val="28"/>
          <w:szCs w:val="28"/>
        </w:rPr>
      </w:pPr>
      <w:r>
        <w:rPr>
          <w:rFonts w:hint="eastAsia" w:ascii="宋体" w:hAnsi="宋体" w:cs="宋体"/>
          <w:color w:val="000000" w:themeColor="text1"/>
          <w:sz w:val="28"/>
          <w:szCs w:val="28"/>
        </w:rPr>
        <w:t>4.1.3  云计算安全实验室</w:t>
      </w:r>
    </w:p>
    <w:tbl>
      <w:tblPr>
        <w:tblStyle w:val="45"/>
        <w:tblW w:w="10749" w:type="dxa"/>
        <w:jc w:val="center"/>
        <w:tblLayout w:type="fixed"/>
        <w:tblCellMar>
          <w:top w:w="0" w:type="dxa"/>
          <w:left w:w="0" w:type="dxa"/>
          <w:bottom w:w="0" w:type="dxa"/>
          <w:right w:w="0" w:type="dxa"/>
        </w:tblCellMar>
      </w:tblPr>
      <w:tblGrid>
        <w:gridCol w:w="620"/>
        <w:gridCol w:w="1638"/>
        <w:gridCol w:w="7345"/>
        <w:gridCol w:w="572"/>
        <w:gridCol w:w="574"/>
      </w:tblGrid>
      <w:tr>
        <w:tblPrEx>
          <w:tblCellMar>
            <w:top w:w="0" w:type="dxa"/>
            <w:left w:w="0" w:type="dxa"/>
            <w:bottom w:w="0" w:type="dxa"/>
            <w:right w:w="0" w:type="dxa"/>
          </w:tblCellMar>
        </w:tblPrEx>
        <w:trPr>
          <w:trHeight w:val="263" w:hRule="atLeast"/>
          <w:tblHeade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bookmarkStart w:id="178" w:name="_Toc13579322"/>
            <w:r>
              <w:rPr>
                <w:rFonts w:hint="eastAsia" w:ascii="宋体" w:hAnsi="宋体" w:cs="宋体"/>
                <w:b/>
                <w:color w:val="000000" w:themeColor="text1"/>
                <w:kern w:val="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产品名称</w:t>
            </w:r>
          </w:p>
        </w:tc>
        <w:tc>
          <w:tcPr>
            <w:tcW w:w="7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1546"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网络机柜</w:t>
            </w:r>
          </w:p>
        </w:tc>
        <w:tc>
          <w:tcPr>
            <w:tcW w:w="7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容量：12U，门及门锁：有，材料及工艺：SPC优质冷轧钢，脱脂静电喷塑</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标准</w:t>
            </w:r>
            <w:r>
              <w:rPr>
                <w:rFonts w:hint="eastAsia" w:ascii="宋体" w:hAnsi="宋体" w:cs="宋体"/>
                <w:color w:val="000000" w:themeColor="text1"/>
                <w:kern w:val="0"/>
              </w:rPr>
              <w:tab/>
            </w:r>
            <w:r>
              <w:rPr>
                <w:rFonts w:hint="eastAsia" w:ascii="宋体" w:hAnsi="宋体" w:cs="宋体"/>
                <w:color w:val="000000" w:themeColor="text1"/>
                <w:kern w:val="0"/>
              </w:rPr>
              <w:t>符合ANSI/EIA RS-310-D，IEC297-2DIN41491PART1，DIN41494；PART7GB/T3047.2-92标准，兼容EISI</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材料及工艺</w:t>
            </w:r>
            <w:r>
              <w:rPr>
                <w:rFonts w:hint="eastAsia" w:ascii="宋体" w:hAnsi="宋体" w:cs="宋体"/>
                <w:color w:val="000000" w:themeColor="text1"/>
                <w:kern w:val="0"/>
              </w:rPr>
              <w:tab/>
            </w:r>
            <w:r>
              <w:rPr>
                <w:rFonts w:hint="eastAsia" w:ascii="宋体" w:hAnsi="宋体" w:cs="宋体"/>
                <w:color w:val="000000" w:themeColor="text1"/>
                <w:kern w:val="0"/>
              </w:rPr>
              <w:t>SPC优质冷轧钢，脱脂静电喷塑</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外观参数（长*宽*深）：700mm*550mm*450mm</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标准标配：托盘×1，12U立柱×4，脚轮×4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1246"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接入交换机</w:t>
            </w:r>
          </w:p>
        </w:tc>
        <w:tc>
          <w:tcPr>
            <w:tcW w:w="7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传输速率:10/100/1000Mbps,交换方式:存储-转发,背板带宽≥96Gbps,包转发率≥71.4Mpps</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端口描述≥48个10/100/1000Mbps自适应以太网端口</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功能特性:</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网络标准:IEEE 802.3，IEEE 802.3u，IEEE 802.3x，IEEE 802.3ab</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电源电压:AC 100-240V，50-60Hz</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bl>
    <w:p>
      <w:pPr>
        <w:pStyle w:val="7"/>
        <w:spacing w:line="240" w:lineRule="auto"/>
        <w:rPr>
          <w:rFonts w:ascii="宋体" w:hAnsi="宋体" w:cs="宋体"/>
          <w:color w:val="000000" w:themeColor="text1"/>
          <w:sz w:val="28"/>
          <w:szCs w:val="28"/>
        </w:rPr>
      </w:pPr>
      <w:bookmarkStart w:id="179" w:name="_Toc21590_WPSOffice_Level2"/>
      <w:bookmarkStart w:id="180" w:name="_Toc13748850"/>
      <w:r>
        <w:rPr>
          <w:rFonts w:hint="eastAsia" w:ascii="宋体" w:hAnsi="宋体" w:cs="宋体"/>
          <w:color w:val="000000" w:themeColor="text1"/>
          <w:sz w:val="28"/>
          <w:szCs w:val="28"/>
        </w:rPr>
        <w:t>4.1.4  网络安全态势感知实验室</w:t>
      </w:r>
      <w:bookmarkEnd w:id="178"/>
      <w:bookmarkEnd w:id="179"/>
      <w:bookmarkEnd w:id="180"/>
    </w:p>
    <w:tbl>
      <w:tblPr>
        <w:tblStyle w:val="45"/>
        <w:tblW w:w="10700" w:type="dxa"/>
        <w:jc w:val="center"/>
        <w:tblLayout w:type="fixed"/>
        <w:tblCellMar>
          <w:top w:w="0" w:type="dxa"/>
          <w:left w:w="0" w:type="dxa"/>
          <w:bottom w:w="0" w:type="dxa"/>
          <w:right w:w="0" w:type="dxa"/>
        </w:tblCellMar>
      </w:tblPr>
      <w:tblGrid>
        <w:gridCol w:w="667"/>
        <w:gridCol w:w="1663"/>
        <w:gridCol w:w="7131"/>
        <w:gridCol w:w="573"/>
        <w:gridCol w:w="666"/>
      </w:tblGrid>
      <w:tr>
        <w:tblPrEx>
          <w:tblCellMar>
            <w:top w:w="0" w:type="dxa"/>
            <w:left w:w="0" w:type="dxa"/>
            <w:bottom w:w="0" w:type="dxa"/>
            <w:right w:w="0" w:type="dxa"/>
          </w:tblCellMar>
        </w:tblPrEx>
        <w:trPr>
          <w:trHeight w:val="5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项目名称</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26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可视化大屏</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82寸展示大屏，,屏幕分辨率:超高清4K,HDR显示:支持，背光源：LED，背光方式：直下式，支持格式（高清）：2160p，核心参数：CPU4核，运行内存：至少2GB，存储内存：至少8GB，端口参数：支持USB2.0接口、支持HDMI2.0接口，单屏尺寸（宽*高）mm：至少1686x970。提供节能、3C证书。</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网络机柜</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容量：12U，门及门锁：有，材料及工艺：SPC优质冷轧钢，脱脂静电喷塑</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标准</w:t>
            </w:r>
            <w:r>
              <w:rPr>
                <w:rFonts w:hint="eastAsia" w:ascii="宋体" w:hAnsi="宋体" w:cs="宋体"/>
                <w:color w:val="000000" w:themeColor="text1"/>
                <w:kern w:val="0"/>
              </w:rPr>
              <w:tab/>
            </w:r>
            <w:r>
              <w:rPr>
                <w:rFonts w:hint="eastAsia" w:ascii="宋体" w:hAnsi="宋体" w:cs="宋体"/>
                <w:color w:val="000000" w:themeColor="text1"/>
                <w:kern w:val="0"/>
              </w:rPr>
              <w:t>符合ANSI/EIA RS-310-D，IEC297-2DIN41491PART1，DIN41494；PART7GB/T3047.2-92标准，兼容EISI</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材料及工艺：SPC优质冷轧钢，脱脂静电喷塑</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外观参数（长*宽*深）：700mm*550mm*450mm</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标准标配：托盘×1，12U立柱×4，螺母若干，脚轮×4</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r>
        <w:tblPrEx>
          <w:tblCellMar>
            <w:top w:w="0" w:type="dxa"/>
            <w:left w:w="0" w:type="dxa"/>
            <w:bottom w:w="0" w:type="dxa"/>
            <w:right w:w="0" w:type="dxa"/>
          </w:tblCellMar>
        </w:tblPrEx>
        <w:trPr>
          <w:trHeight w:val="5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接入交换机</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传输速率:10/100/1000Mbps,交换方式:存储-转发,背板带宽≥96Gbps,包转发率≥71.4Mpps</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端口描述≥48个10/100/1000Mbps自适应以太网端口</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功能特性:</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网络标准:IEEE 802.3，IEEE 802.3u，IEEE 802.3x，IEEE 802.3ab</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电源电压:AC 100-240V，50-60Hz</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台</w:t>
            </w:r>
          </w:p>
        </w:tc>
      </w:tr>
    </w:tbl>
    <w:p>
      <w:pPr>
        <w:pStyle w:val="2"/>
        <w:spacing w:line="240" w:lineRule="auto"/>
        <w:ind w:firstLine="482"/>
        <w:rPr>
          <w:rFonts w:cs="宋体"/>
          <w:color w:val="000000" w:themeColor="text1"/>
          <w:sz w:val="24"/>
        </w:rPr>
      </w:pPr>
      <w:r>
        <w:rPr>
          <w:rFonts w:hint="eastAsia" w:cs="宋体"/>
          <w:b/>
          <w:color w:val="000000" w:themeColor="text1"/>
          <w:sz w:val="24"/>
        </w:rPr>
        <w:t>注：</w:t>
      </w:r>
    </w:p>
    <w:p>
      <w:pPr>
        <w:numPr>
          <w:ilvl w:val="0"/>
          <w:numId w:val="2"/>
        </w:numPr>
        <w:autoSpaceDE w:val="0"/>
        <w:autoSpaceDN w:val="0"/>
        <w:adjustRightInd w:val="0"/>
        <w:ind w:firstLine="551"/>
        <w:rPr>
          <w:rFonts w:cs="仿宋" w:asciiTheme="minorEastAsia" w:hAnsiTheme="minorEastAsia" w:eastAsiaTheme="minorEastAsia"/>
          <w:color w:val="000000" w:themeColor="text1"/>
          <w:kern w:val="0"/>
          <w:sz w:val="24"/>
          <w:lang w:val="zh-CN"/>
        </w:rPr>
      </w:pPr>
      <w:r>
        <w:rPr>
          <w:rFonts w:hint="eastAsia" w:cs="仿宋" w:asciiTheme="minorEastAsia" w:hAnsiTheme="minorEastAsia" w:eastAsiaTheme="minorEastAsia"/>
          <w:color w:val="000000" w:themeColor="text1"/>
          <w:kern w:val="0"/>
          <w:sz w:val="24"/>
          <w:lang w:val="zh-CN"/>
        </w:rPr>
        <w:t>投标人所投所有服务器设备须为同一品牌。</w:t>
      </w:r>
    </w:p>
    <w:p>
      <w:pPr>
        <w:numPr>
          <w:ilvl w:val="0"/>
          <w:numId w:val="2"/>
        </w:numPr>
        <w:autoSpaceDE w:val="0"/>
        <w:autoSpaceDN w:val="0"/>
        <w:adjustRightInd w:val="0"/>
        <w:ind w:firstLine="551"/>
        <w:rPr>
          <w:rFonts w:cs="仿宋" w:asciiTheme="minorEastAsia" w:hAnsiTheme="minorEastAsia" w:eastAsiaTheme="minorEastAsia"/>
          <w:color w:val="000000" w:themeColor="text1"/>
          <w:kern w:val="0"/>
          <w:sz w:val="24"/>
          <w:lang w:val="zh-CN"/>
        </w:rPr>
      </w:pPr>
      <w:r>
        <w:rPr>
          <w:rFonts w:hint="eastAsia" w:cs="仿宋" w:asciiTheme="minorEastAsia" w:hAnsiTheme="minorEastAsia" w:eastAsiaTheme="minorEastAsia"/>
          <w:color w:val="000000" w:themeColor="text1"/>
          <w:kern w:val="0"/>
          <w:sz w:val="24"/>
          <w:lang w:val="zh-CN"/>
        </w:rPr>
        <w:t>投标人所投所有标注★项产品须为同一品牌，采购人推荐品牌：华为、天融信、深信服、奇安信（网神）、山石网科、华三（H3C）、启明星辰。</w:t>
      </w:r>
    </w:p>
    <w:p>
      <w:pPr>
        <w:numPr>
          <w:ilvl w:val="0"/>
          <w:numId w:val="2"/>
        </w:numPr>
        <w:autoSpaceDE w:val="0"/>
        <w:autoSpaceDN w:val="0"/>
        <w:adjustRightInd w:val="0"/>
        <w:ind w:firstLine="551"/>
        <w:rPr>
          <w:rFonts w:cs="仿宋" w:asciiTheme="minorEastAsia" w:hAnsiTheme="minorEastAsia" w:eastAsiaTheme="minorEastAsia"/>
          <w:color w:val="000000" w:themeColor="text1"/>
          <w:kern w:val="0"/>
          <w:sz w:val="24"/>
          <w:lang w:val="zh-CN"/>
        </w:rPr>
      </w:pPr>
      <w:r>
        <w:rPr>
          <w:rFonts w:hint="eastAsia" w:cs="仿宋" w:asciiTheme="minorEastAsia" w:hAnsiTheme="minorEastAsia" w:eastAsiaTheme="minorEastAsia"/>
          <w:color w:val="000000" w:themeColor="text1"/>
          <w:kern w:val="0"/>
          <w:sz w:val="24"/>
          <w:lang w:val="zh-CN"/>
        </w:rPr>
        <w:t>所有采购设备必须提供基础的原厂三年全免费上门质保服务，</w:t>
      </w:r>
      <w:r>
        <w:rPr>
          <w:rFonts w:hint="eastAsia" w:ascii="宋体" w:hAnsi="宋体" w:cs="宋体"/>
          <w:color w:val="000000" w:themeColor="text1"/>
          <w:kern w:val="0"/>
          <w:sz w:val="24"/>
        </w:rPr>
        <w:t>服务期内设备故障报修的应急响应时间：2小时内响应，24小时内到达现场（含节假日）</w:t>
      </w:r>
      <w:r>
        <w:rPr>
          <w:rFonts w:hint="eastAsia" w:cs="仿宋" w:asciiTheme="minorEastAsia" w:hAnsiTheme="minorEastAsia" w:eastAsiaTheme="minorEastAsia"/>
          <w:color w:val="000000" w:themeColor="text1"/>
          <w:kern w:val="0"/>
          <w:sz w:val="24"/>
          <w:lang w:val="zh-CN"/>
        </w:rPr>
        <w:t>。</w:t>
      </w:r>
    </w:p>
    <w:p>
      <w:pPr>
        <w:numPr>
          <w:ilvl w:val="0"/>
          <w:numId w:val="2"/>
        </w:numPr>
        <w:autoSpaceDE w:val="0"/>
        <w:autoSpaceDN w:val="0"/>
        <w:adjustRightInd w:val="0"/>
        <w:ind w:firstLine="551"/>
        <w:rPr>
          <w:rFonts w:cs="仿宋" w:asciiTheme="minorEastAsia" w:hAnsiTheme="minorEastAsia" w:eastAsiaTheme="minorEastAsia"/>
          <w:color w:val="000000" w:themeColor="text1"/>
          <w:kern w:val="0"/>
          <w:sz w:val="24"/>
          <w:lang w:val="zh-CN"/>
        </w:rPr>
      </w:pPr>
      <w:r>
        <w:rPr>
          <w:rFonts w:hint="eastAsia" w:cs="仿宋" w:asciiTheme="minorEastAsia" w:hAnsiTheme="minorEastAsia" w:eastAsiaTheme="minorEastAsia"/>
          <w:color w:val="000000" w:themeColor="text1"/>
          <w:kern w:val="0"/>
          <w:sz w:val="24"/>
          <w:lang w:val="zh-CN"/>
        </w:rPr>
        <w:t>所投服务器BIOS不得含有防盗追踪软件。</w:t>
      </w:r>
    </w:p>
    <w:p>
      <w:pPr>
        <w:numPr>
          <w:ilvl w:val="0"/>
          <w:numId w:val="2"/>
        </w:numPr>
        <w:autoSpaceDE w:val="0"/>
        <w:autoSpaceDN w:val="0"/>
        <w:adjustRightInd w:val="0"/>
        <w:ind w:firstLine="551"/>
        <w:rPr>
          <w:rFonts w:cs="仿宋" w:asciiTheme="minorEastAsia" w:hAnsiTheme="minorEastAsia" w:eastAsiaTheme="minorEastAsia"/>
          <w:color w:val="000000" w:themeColor="text1"/>
          <w:kern w:val="0"/>
          <w:sz w:val="24"/>
          <w:lang w:val="zh-CN"/>
        </w:rPr>
      </w:pPr>
      <w:r>
        <w:rPr>
          <w:rFonts w:hint="eastAsia" w:cs="仿宋" w:asciiTheme="minorEastAsia" w:hAnsiTheme="minorEastAsia" w:eastAsiaTheme="minorEastAsia"/>
          <w:color w:val="000000" w:themeColor="text1"/>
          <w:kern w:val="0"/>
          <w:sz w:val="24"/>
          <w:lang w:val="zh-CN"/>
        </w:rPr>
        <w:t>本项目两个标段，</w:t>
      </w:r>
      <w:r>
        <w:rPr>
          <w:rFonts w:hint="eastAsia" w:cs="仿宋" w:asciiTheme="minorEastAsia" w:hAnsiTheme="minorEastAsia" w:eastAsiaTheme="minorEastAsia"/>
          <w:b/>
          <w:color w:val="000000" w:themeColor="text1"/>
          <w:kern w:val="0"/>
          <w:sz w:val="24"/>
          <w:lang w:val="zh-CN"/>
        </w:rPr>
        <w:t>本</w:t>
      </w:r>
      <w:r>
        <w:rPr>
          <w:rFonts w:cs="仿宋" w:asciiTheme="minorEastAsia" w:hAnsiTheme="minorEastAsia" w:eastAsiaTheme="minorEastAsia"/>
          <w:b/>
          <w:color w:val="000000" w:themeColor="text1"/>
          <w:kern w:val="0"/>
          <w:sz w:val="24"/>
          <w:lang w:val="zh-CN"/>
        </w:rPr>
        <w:t>标段</w:t>
      </w:r>
      <w:r>
        <w:rPr>
          <w:rFonts w:hint="eastAsia" w:cs="仿宋" w:asciiTheme="minorEastAsia" w:hAnsiTheme="minorEastAsia" w:eastAsiaTheme="minorEastAsia"/>
          <w:b/>
          <w:color w:val="000000" w:themeColor="text1"/>
          <w:kern w:val="0"/>
          <w:sz w:val="24"/>
          <w:lang w:val="zh-CN"/>
        </w:rPr>
        <w:t>投标人需书面承诺为分包</w:t>
      </w:r>
      <w:r>
        <w:rPr>
          <w:rFonts w:cs="仿宋" w:asciiTheme="minorEastAsia" w:hAnsiTheme="minorEastAsia" w:eastAsiaTheme="minorEastAsia"/>
          <w:b/>
          <w:color w:val="000000" w:themeColor="text1"/>
          <w:kern w:val="0"/>
          <w:sz w:val="24"/>
          <w:lang w:val="zh-CN"/>
        </w:rPr>
        <w:t>二</w:t>
      </w:r>
      <w:r>
        <w:rPr>
          <w:rFonts w:hint="eastAsia" w:cs="仿宋" w:asciiTheme="minorEastAsia" w:hAnsiTheme="minorEastAsia" w:eastAsiaTheme="minorEastAsia"/>
          <w:b/>
          <w:color w:val="000000" w:themeColor="text1"/>
          <w:kern w:val="0"/>
          <w:sz w:val="24"/>
          <w:lang w:val="zh-CN"/>
        </w:rPr>
        <w:t>（软件部分）的软件调试开放所需接口</w:t>
      </w:r>
      <w:r>
        <w:rPr>
          <w:rFonts w:hint="eastAsia" w:cs="仿宋" w:asciiTheme="minorEastAsia" w:hAnsiTheme="minorEastAsia" w:eastAsiaTheme="minorEastAsia"/>
          <w:color w:val="000000" w:themeColor="text1"/>
          <w:kern w:val="0"/>
          <w:sz w:val="24"/>
          <w:lang w:val="zh-CN"/>
        </w:rPr>
        <w:t>，</w:t>
      </w:r>
      <w:r>
        <w:rPr>
          <w:rFonts w:cs="仿宋" w:asciiTheme="minorEastAsia" w:hAnsiTheme="minorEastAsia" w:eastAsiaTheme="minorEastAsia"/>
          <w:color w:val="000000" w:themeColor="text1"/>
          <w:kern w:val="0"/>
          <w:sz w:val="24"/>
          <w:lang w:val="zh-CN"/>
        </w:rPr>
        <w:t>以保障本项目顺利交付甲方使用</w:t>
      </w:r>
      <w:r>
        <w:rPr>
          <w:rFonts w:hint="eastAsia" w:cs="仿宋" w:asciiTheme="minorEastAsia" w:hAnsiTheme="minorEastAsia" w:eastAsiaTheme="minorEastAsia"/>
          <w:color w:val="000000" w:themeColor="text1"/>
          <w:kern w:val="0"/>
          <w:sz w:val="24"/>
          <w:lang w:val="zh-CN"/>
        </w:rPr>
        <w:t>。</w:t>
      </w:r>
    </w:p>
    <w:p>
      <w:pPr>
        <w:widowControl/>
        <w:jc w:val="left"/>
        <w:rPr>
          <w:rFonts w:ascii="宋体" w:hAnsi="宋体" w:cs="宋体"/>
          <w:b/>
          <w:color w:val="000000" w:themeColor="text1"/>
          <w:sz w:val="28"/>
          <w:szCs w:val="28"/>
          <w:highlight w:val="yellow"/>
        </w:rPr>
      </w:pPr>
    </w:p>
    <w:p>
      <w:pPr>
        <w:pStyle w:val="23"/>
        <w:snapToGrid w:val="0"/>
        <w:jc w:val="left"/>
        <w:rPr>
          <w:rFonts w:hAnsi="宋体" w:cs="宋体"/>
          <w:b/>
          <w:color w:val="000000" w:themeColor="text1"/>
          <w:sz w:val="28"/>
          <w:szCs w:val="28"/>
          <w:highlight w:val="yellow"/>
        </w:rPr>
      </w:pPr>
      <w:r>
        <w:rPr>
          <w:rFonts w:hint="eastAsia" w:hAnsi="宋体" w:cs="宋体"/>
          <w:b/>
          <w:color w:val="000000" w:themeColor="text1"/>
          <w:sz w:val="28"/>
          <w:szCs w:val="28"/>
          <w:highlight w:val="yellow"/>
        </w:rPr>
        <w:t>4.2分包二：</w:t>
      </w:r>
    </w:p>
    <w:p>
      <w:pPr>
        <w:pStyle w:val="7"/>
        <w:spacing w:line="240" w:lineRule="auto"/>
        <w:rPr>
          <w:rFonts w:ascii="宋体" w:hAnsi="宋体" w:cs="宋体"/>
          <w:color w:val="000000" w:themeColor="text1"/>
          <w:sz w:val="28"/>
          <w:szCs w:val="28"/>
        </w:rPr>
      </w:pPr>
      <w:r>
        <w:rPr>
          <w:rFonts w:hint="eastAsia" w:ascii="宋体" w:hAnsi="宋体" w:cs="宋体"/>
          <w:color w:val="000000" w:themeColor="text1"/>
          <w:sz w:val="28"/>
          <w:szCs w:val="28"/>
        </w:rPr>
        <w:t>4.2.1网络安全综合实验室</w:t>
      </w:r>
    </w:p>
    <w:tbl>
      <w:tblPr>
        <w:tblStyle w:val="45"/>
        <w:tblW w:w="10756" w:type="dxa"/>
        <w:jc w:val="center"/>
        <w:tblLayout w:type="fixed"/>
        <w:tblCellMar>
          <w:top w:w="0" w:type="dxa"/>
          <w:left w:w="0" w:type="dxa"/>
          <w:bottom w:w="0" w:type="dxa"/>
          <w:right w:w="0" w:type="dxa"/>
        </w:tblCellMar>
      </w:tblPr>
      <w:tblGrid>
        <w:gridCol w:w="630"/>
        <w:gridCol w:w="1672"/>
        <w:gridCol w:w="7287"/>
        <w:gridCol w:w="567"/>
        <w:gridCol w:w="600"/>
      </w:tblGrid>
      <w:tr>
        <w:tblPrEx>
          <w:tblCellMar>
            <w:top w:w="0" w:type="dxa"/>
            <w:left w:w="0" w:type="dxa"/>
            <w:bottom w:w="0" w:type="dxa"/>
            <w:right w:w="0" w:type="dxa"/>
          </w:tblCellMar>
        </w:tblPrEx>
        <w:trPr>
          <w:trHeight w:val="574" w:hRule="atLeast"/>
          <w:tblHeader/>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项目名称</w:t>
            </w:r>
          </w:p>
        </w:tc>
        <w:tc>
          <w:tcPr>
            <w:tcW w:w="7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565"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云实验管理系统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B/S架构，包含课程管理、学生管理、虚拟环境管理、实验工具、知识库、项目实训等功能。</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b/>
                <w:color w:val="000000" w:themeColor="text1"/>
                <w:kern w:val="0"/>
              </w:rPr>
              <w:t>★</w:t>
            </w:r>
            <w:r>
              <w:rPr>
                <w:rFonts w:hint="eastAsia" w:ascii="宋体" w:hAnsi="宋体" w:cs="宋体"/>
                <w:color w:val="000000" w:themeColor="text1"/>
                <w:kern w:val="0"/>
              </w:rPr>
              <w:t>支持同时并发≥150个用户使用，支持同时仿真≥400台设备，操作应无卡顿。多个学生使用相同实验环境学习，实验环境内设备每个设备都有独立IP。</w:t>
            </w:r>
            <w:r>
              <w:rPr>
                <w:rFonts w:hint="eastAsia" w:ascii="宋体" w:hAnsi="宋体" w:cs="宋体"/>
                <w:b/>
                <w:color w:val="000000" w:themeColor="text1"/>
                <w:kern w:val="0"/>
              </w:rPr>
              <w:t>（提供功能截图加盖投标人公章）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themeColor="text1"/>
                <w:kern w:val="0"/>
              </w:rPr>
            </w:pPr>
            <w:r>
              <w:rPr>
                <w:rFonts w:hint="eastAsia" w:ascii="宋体" w:hAnsi="宋体" w:cs="宋体"/>
                <w:b/>
                <w:color w:val="000000" w:themeColor="text1"/>
                <w:kern w:val="0"/>
              </w:rPr>
              <w:t>在线实训模块</w:t>
            </w:r>
            <w:r>
              <w:rPr>
                <w:rFonts w:hint="eastAsia" w:ascii="宋体" w:hAnsi="宋体" w:cs="宋体"/>
                <w:color w:val="000000" w:themeColor="text1"/>
                <w:kern w:val="0"/>
              </w:rPr>
              <w:t>-平台提供在线学习实训功能，用户可以通过提供的功能进行信息安全知识学习、培训、实训、实验及考核。</w:t>
            </w:r>
          </w:p>
          <w:p>
            <w:pPr>
              <w:widowControl/>
              <w:textAlignment w:val="center"/>
              <w:rPr>
                <w:color w:val="000000" w:themeColor="text1"/>
              </w:rPr>
            </w:pPr>
            <w:r>
              <w:rPr>
                <w:rFonts w:hint="eastAsia" w:ascii="宋体" w:hAnsi="宋体" w:cs="宋体"/>
                <w:b/>
                <w:color w:val="000000" w:themeColor="text1"/>
                <w:kern w:val="0"/>
              </w:rPr>
              <w:t>▲</w:t>
            </w:r>
            <w:r>
              <w:rPr>
                <w:rFonts w:hint="eastAsia" w:ascii="宋体" w:hAnsi="宋体" w:cs="宋体"/>
                <w:color w:val="000000" w:themeColor="text1"/>
                <w:kern w:val="0"/>
              </w:rPr>
              <w:t>系统实验具有自动评分功能，学生选修的实验学习结束后（非理论题），系统能够自动评判学生实验评价结果，显示实验成绩。</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资源状态监控模块</w:t>
            </w:r>
            <w:r>
              <w:rPr>
                <w:rFonts w:hint="eastAsia" w:ascii="宋体" w:hAnsi="宋体" w:cs="宋体"/>
                <w:color w:val="000000" w:themeColor="text1"/>
                <w:kern w:val="0"/>
              </w:rPr>
              <w:t>-支持系统整体资源状态监控，展现系统整体内存、硬盘的使用情况和资源占用的百分比显示。同时，可监控不同子系统的资源使用情况并对不同部分进行资源限额。</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▲用户管理模块</w:t>
            </w:r>
            <w:r>
              <w:rPr>
                <w:rFonts w:hint="eastAsia" w:ascii="宋体" w:hAnsi="宋体" w:cs="宋体"/>
                <w:color w:val="000000" w:themeColor="text1"/>
                <w:kern w:val="0"/>
              </w:rPr>
              <w:t>-支持用户基本信息进行管理维护，支持账号的批量导入，同时支持可对学生进行批量导出，也可根据角色导出不同类型的用户。批量导入时支持直接通过导入模板创建不同角色的用户。</w:t>
            </w:r>
            <w:r>
              <w:rPr>
                <w:rFonts w:hint="eastAsia" w:ascii="宋体" w:hAnsi="宋体" w:cs="宋体"/>
                <w:b/>
                <w:color w:val="000000" w:themeColor="text1"/>
                <w:kern w:val="0"/>
              </w:rPr>
              <w:t>（提供功能截图加盖投标人公章）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实验管理模块-</w:t>
            </w:r>
            <w:r>
              <w:rPr>
                <w:rFonts w:hint="eastAsia" w:ascii="宋体" w:hAnsi="宋体" w:cs="宋体"/>
                <w:color w:val="000000" w:themeColor="text1"/>
                <w:kern w:val="0"/>
              </w:rPr>
              <w:t>支持实验标准模式和扩展模式两种模式；拓展模式下老师可结合时下热点漏洞和教学倾向自行配置实验环境。</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b/>
                <w:color w:val="000000" w:themeColor="text1"/>
                <w:kern w:val="0"/>
              </w:rPr>
              <w:t>★☆</w:t>
            </w:r>
            <w:r>
              <w:rPr>
                <w:rFonts w:hint="eastAsia" w:ascii="宋体" w:hAnsi="宋体" w:cs="宋体"/>
                <w:color w:val="000000" w:themeColor="text1"/>
                <w:kern w:val="0"/>
              </w:rPr>
              <w:t>支持实验手册和实验拓扑同屏显示，方便学生做实验，实验手册支持拖拽放大缩小，提供一键启动、一键关停、标靶单独重启、多次延时功能。</w:t>
            </w:r>
            <w:r>
              <w:rPr>
                <w:rFonts w:hint="eastAsia" w:ascii="宋体" w:hAnsi="宋体" w:cs="宋体"/>
                <w:b/>
                <w:color w:val="000000" w:themeColor="text1"/>
                <w:kern w:val="0"/>
              </w:rPr>
              <w:t>（提供功能截图加盖投标人公章并现场功能演示）</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平台支持学生学习实验报告撰写功能，对于已经提交的实验报告支持重复提交。</w:t>
            </w:r>
          </w:p>
          <w:p>
            <w:pPr>
              <w:widowControl/>
              <w:jc w:val="left"/>
              <w:textAlignment w:val="center"/>
              <w:rPr>
                <w:color w:val="000000" w:themeColor="text1"/>
              </w:rPr>
            </w:pPr>
            <w:r>
              <w:rPr>
                <w:rFonts w:hint="eastAsia" w:ascii="宋体" w:hAnsi="宋体" w:cs="宋体"/>
                <w:b/>
                <w:color w:val="000000" w:themeColor="text1"/>
                <w:kern w:val="0"/>
              </w:rPr>
              <w:t>▲</w:t>
            </w:r>
            <w:r>
              <w:rPr>
                <w:rFonts w:hint="eastAsia" w:ascii="宋体" w:hAnsi="宋体" w:cs="宋体"/>
                <w:color w:val="000000" w:themeColor="text1"/>
                <w:kern w:val="0"/>
              </w:rPr>
              <w:t>支持云实验笔记功能，学生可以在做实验过程中进行实验纪录，并且要求实验笔记使用编辑器形式实现，可以反复提交，在书写实验笔记的过程中系统自动计算字符总数，实验笔记可以上传图片、插入表情、设置字体、撤销、制定格式。</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集群统一管理模块</w:t>
            </w:r>
            <w:r>
              <w:rPr>
                <w:rFonts w:hint="eastAsia" w:ascii="宋体" w:hAnsi="宋体" w:cs="宋体"/>
                <w:color w:val="000000" w:themeColor="text1"/>
                <w:kern w:val="0"/>
              </w:rPr>
              <w:t>-支持设备的集群统一管理：平台可动态增加、移除计算资源；增加计算资源后，平台内的可用CPU数量和内存容量会自动动态增加。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平台可动态增加、移除存储资源；增加存储资源后，平台内的可用存储容量会自动动态增加，在平台上新增课件及实验场景时，存储资源可即时同步，无需手动进行更新；平台可自动对资源按性能进行自动调度及负载均衡，不需要设置任何的阈值。</w:t>
            </w:r>
          </w:p>
          <w:p>
            <w:pPr>
              <w:widowControl/>
              <w:jc w:val="left"/>
              <w:textAlignment w:val="center"/>
              <w:rPr>
                <w:color w:val="000000" w:themeColor="text1"/>
              </w:rPr>
            </w:pPr>
            <w:r>
              <w:rPr>
                <w:rFonts w:hint="eastAsia" w:ascii="宋体" w:hAnsi="宋体" w:cs="宋体"/>
                <w:b/>
                <w:color w:val="000000" w:themeColor="text1"/>
                <w:kern w:val="0"/>
              </w:rPr>
              <w:t>▲</w:t>
            </w:r>
            <w:r>
              <w:rPr>
                <w:rFonts w:hint="eastAsia" w:ascii="宋体" w:hAnsi="宋体" w:cs="宋体"/>
                <w:color w:val="000000" w:themeColor="text1"/>
                <w:kern w:val="0"/>
              </w:rPr>
              <w:t>支持磁盘自动清理和手动清理，要求自动清理可以设置清理的时间（三个月、六个月、一年），手动清理可以设置清除日期，磁盘空间清理后要求系统能够记录磁盘清理纪录。</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110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教学管理系统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方案管理模块</w:t>
            </w:r>
            <w:r>
              <w:rPr>
                <w:rFonts w:hint="eastAsia" w:ascii="宋体" w:hAnsi="宋体" w:cs="宋体"/>
                <w:color w:val="000000" w:themeColor="text1"/>
                <w:kern w:val="0"/>
              </w:rPr>
              <w:t>-要求教学资源支持快速复制和重复利用，老师自己创建全新的人才培养方案，也可以系统提供的方案内容为基础进程继承创建，要求支持方案内部支持课程的先后排序，系统提供配套教学资源，提供职业教育、知识短训、就业培训多种类型。</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教师事务管理模块-</w:t>
            </w:r>
            <w:r>
              <w:rPr>
                <w:rFonts w:hint="eastAsia" w:ascii="宋体" w:hAnsi="宋体" w:cs="宋体"/>
                <w:color w:val="000000" w:themeColor="text1"/>
                <w:kern w:val="0"/>
              </w:rPr>
              <w:t>平台支持对教师事务功能，用于存放需要教师处理的事务，可以根据时间、组织架构、教学计划等进行待处理事情的查看，事务内容包含课程备课、练习、随堂练习、项目实训、技能评测等内容学生的完成情况和提交情况。</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教学计划模块-</w:t>
            </w:r>
            <w:r>
              <w:rPr>
                <w:rFonts w:hint="eastAsia" w:ascii="宋体" w:hAnsi="宋体" w:cs="宋体"/>
                <w:color w:val="000000" w:themeColor="text1"/>
                <w:kern w:val="0"/>
              </w:rPr>
              <w:t>平台提供教学计划功能，教师可设置教学计划，一个教学计划由多个时间块组成，每个时间块可以包含多个课程资源，教师可对课程资源进行创建、修改、删除，资源内容包含培训视频、实验操作环境、实验手册、实验报告、项目实训、技能测评。</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平台支持针对班级进行教学计划的下发，也可以根据实际教学情况进行定制化教学计划的下发，可对课程进行详细制定，包括班级、计划名称等。</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课程管理模块-</w:t>
            </w:r>
            <w:r>
              <w:rPr>
                <w:rFonts w:hint="eastAsia" w:ascii="宋体" w:hAnsi="宋体" w:cs="宋体"/>
                <w:color w:val="000000" w:themeColor="text1"/>
                <w:kern w:val="0"/>
              </w:rPr>
              <w:t>教员创建课程时，教员可选择所建课程的访问模式，包含公开和不公开两种模式，其中公开模式下所有学员及教员均可使用和查看。</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考核管理模块-</w:t>
            </w:r>
            <w:r>
              <w:rPr>
                <w:rFonts w:hint="eastAsia" w:ascii="宋体" w:hAnsi="宋体" w:cs="宋体"/>
                <w:color w:val="000000" w:themeColor="text1"/>
                <w:kern w:val="0"/>
              </w:rPr>
              <w:t>平台可提供不少于1000道试题，支持单选、多选、判断、实验靶场，其中技能题目需要包含附件题、本地操作类型题目、综合网络渗透等多种题目形式。</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考试统计模块-</w:t>
            </w:r>
            <w:r>
              <w:rPr>
                <w:rFonts w:hint="eastAsia" w:ascii="宋体" w:hAnsi="宋体" w:cs="宋体"/>
                <w:color w:val="000000" w:themeColor="text1"/>
                <w:kern w:val="0"/>
              </w:rPr>
              <w:t>支持设置考试题目是否显示，提供每场考试按分数段进行统计，并可导出考试成绩，每场考试平台可出具错误题目的统计，包含出错题目以及出错学员，且支持按不同分数段进行人数统计；</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教学统计模块-</w:t>
            </w:r>
            <w:r>
              <w:rPr>
                <w:rFonts w:hint="eastAsia" w:ascii="宋体" w:hAnsi="宋体" w:cs="宋体"/>
                <w:color w:val="000000" w:themeColor="text1"/>
                <w:kern w:val="0"/>
              </w:rPr>
              <w:t>平台需提供统计及分析功能，包含课程资源数量、题库数量、实训项目数量等信息。平台提供学生学习能力分析，可通过分析报告了解学生知识掌握情况，老师可通过数据分析了解学生的整体情况以及每个知识点学生的掌握情况，便于定向辅导。</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63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学情管理系统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学习模式模块</w:t>
            </w:r>
            <w:r>
              <w:rPr>
                <w:rFonts w:hint="eastAsia" w:ascii="宋体" w:hAnsi="宋体" w:cs="宋体"/>
                <w:color w:val="000000" w:themeColor="text1"/>
                <w:kern w:val="0"/>
              </w:rPr>
              <w:t>-支持教学、自学两种模式，教学模式下学生需按照教师规定的教学任务进行学习，自学模式下除教师的教学任务之外，可自由选择课程学习。</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学习统计模块</w:t>
            </w:r>
            <w:r>
              <w:rPr>
                <w:rFonts w:hint="eastAsia" w:ascii="宋体" w:hAnsi="宋体" w:cs="宋体"/>
                <w:color w:val="000000" w:themeColor="text1"/>
                <w:kern w:val="0"/>
              </w:rPr>
              <w:t>-支持对学员提供自学统计功能，学员可实时查看自己对自学选课的学习掌握情况以及课程的学习进度，并通过测试记录对学员能力进行展示。</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学习追踪模块</w:t>
            </w:r>
            <w:r>
              <w:rPr>
                <w:rFonts w:hint="eastAsia" w:ascii="宋体" w:hAnsi="宋体" w:cs="宋体"/>
                <w:color w:val="000000" w:themeColor="text1"/>
                <w:kern w:val="0"/>
              </w:rPr>
              <w:t>-支持对学员提供学习跟踪功能，学员可实时查看自己对自学选课的学习掌握情况以及课程的学习进度，平台需记录学员操作日志，包含学习课程、实验内容、考试名称、考试时间等。</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▲随堂练习模块-</w:t>
            </w:r>
            <w:r>
              <w:rPr>
                <w:rFonts w:hint="eastAsia" w:ascii="宋体" w:hAnsi="宋体" w:cs="宋体"/>
                <w:color w:val="000000" w:themeColor="text1"/>
                <w:kern w:val="0"/>
              </w:rPr>
              <w:t>平台学习支持实验实操机制和随堂练习功能，教员可查看每个班级的学习进度、实验进度、练习进度以及课表，学生、教师可通过测试成绩记录对学生在培训方案中的知识掌握情况进行分析，同时学生可查看自己的学习记录等。</w:t>
            </w:r>
            <w:r>
              <w:rPr>
                <w:rFonts w:hint="eastAsia" w:ascii="宋体" w:hAnsi="宋体" w:cs="宋体"/>
                <w:b/>
                <w:color w:val="000000" w:themeColor="text1"/>
                <w:kern w:val="0"/>
              </w:rPr>
              <w:t>（提供功能截图加盖投标人公章）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考试查看模块-</w:t>
            </w:r>
            <w:r>
              <w:rPr>
                <w:rFonts w:hint="eastAsia" w:ascii="宋体" w:hAnsi="宋体" w:cs="宋体"/>
                <w:color w:val="000000" w:themeColor="text1"/>
                <w:kern w:val="0"/>
              </w:rPr>
              <w:t>支持学员对未开始考试、正在进行考试、已结束考试的考试名称、题目类型等信息进行查看。</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65"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题库管理系统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题库分类模块</w:t>
            </w:r>
            <w:r>
              <w:rPr>
                <w:rFonts w:hint="eastAsia" w:ascii="宋体" w:hAnsi="宋体" w:cs="宋体"/>
                <w:color w:val="000000" w:themeColor="text1"/>
                <w:kern w:val="0"/>
              </w:rPr>
              <w:t>-题库支持题目分类功能，用户可自定义分类，支持题目内容搜索功能，支持题目的创建，支持试题导出功能。</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5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试卷管理模块</w:t>
            </w:r>
            <w:r>
              <w:rPr>
                <w:rFonts w:hint="eastAsia" w:ascii="宋体" w:hAnsi="宋体" w:cs="宋体"/>
                <w:color w:val="000000" w:themeColor="text1"/>
                <w:kern w:val="0"/>
              </w:rPr>
              <w:t>-支持试卷模板功能，可将题库中的题目挑选完成后组成试卷，用于考试时选择跟引入。</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支持自动组卷和手动组卷两种组卷方式，自动组卷只需指定知识结构下各类题目数量、题目分值即可快速形成考核试卷。</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项目实训管理系统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color w:val="000000" w:themeColor="text1"/>
              </w:rPr>
            </w:pPr>
            <w:r>
              <w:rPr>
                <w:rFonts w:hint="eastAsia" w:ascii="宋体" w:hAnsi="宋体" w:cs="宋体"/>
                <w:color w:val="000000" w:themeColor="text1"/>
                <w:kern w:val="0"/>
              </w:rPr>
              <w:t>平台支持项目实训，项目实训以实际的项目开展方式为基础，支持WEB安全、渗透测试、代码审计、内网渗透、反序列化、信息收集等多个方面的实训项目。</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color w:val="000000" w:themeColor="text1"/>
              </w:rPr>
            </w:pPr>
            <w:r>
              <w:rPr>
                <w:rFonts w:hint="eastAsia" w:ascii="宋体" w:hAnsi="宋体" w:cs="宋体"/>
                <w:color w:val="000000" w:themeColor="text1"/>
                <w:kern w:val="0"/>
              </w:rPr>
              <w:t>▲</w:t>
            </w:r>
            <w:r>
              <w:rPr>
                <w:rFonts w:hint="eastAsia" w:ascii="宋体" w:hAnsi="宋体" w:cs="宋体"/>
                <w:b/>
                <w:color w:val="000000" w:themeColor="text1"/>
                <w:kern w:val="0"/>
              </w:rPr>
              <w:t>项目管理模块-</w:t>
            </w:r>
            <w:r>
              <w:rPr>
                <w:rFonts w:hint="eastAsia" w:ascii="宋体" w:hAnsi="宋体" w:cs="宋体"/>
                <w:color w:val="000000" w:themeColor="text1"/>
                <w:kern w:val="0"/>
              </w:rPr>
              <w:t>要求系统支持项目简介与项目课程大纲，项目简介至少包括核心内容、实验环境等信息；课程大纲以流程形式显示课程模块，可以点击展开模块显示具体实验课程。</w:t>
            </w:r>
            <w:r>
              <w:rPr>
                <w:rFonts w:hint="eastAsia" w:ascii="宋体" w:hAnsi="宋体" w:cs="宋体"/>
                <w:b/>
                <w:color w:val="000000" w:themeColor="text1"/>
                <w:kern w:val="0"/>
              </w:rPr>
              <w:t>（提供功能截图加盖投标人公章）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color w:val="000000" w:themeColor="text1"/>
              </w:rPr>
            </w:pPr>
            <w:r>
              <w:rPr>
                <w:rFonts w:hint="eastAsia" w:ascii="宋体" w:hAnsi="宋体" w:cs="宋体"/>
                <w:b/>
                <w:color w:val="000000" w:themeColor="text1"/>
                <w:kern w:val="0"/>
              </w:rPr>
              <w:t>项目分组管理-</w:t>
            </w:r>
            <w:r>
              <w:rPr>
                <w:rFonts w:hint="eastAsia" w:ascii="宋体" w:hAnsi="宋体" w:cs="宋体"/>
                <w:color w:val="000000" w:themeColor="text1"/>
                <w:kern w:val="0"/>
              </w:rPr>
              <w:t>要求项目实训以项目团队的方式模拟一个完整项目的实际工作方式对学生进行项目实训演练；</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color w:val="000000" w:themeColor="text1"/>
              </w:rPr>
            </w:pPr>
            <w:r>
              <w:rPr>
                <w:rFonts w:hint="eastAsia" w:ascii="宋体" w:hAnsi="宋体" w:cs="宋体"/>
                <w:b/>
                <w:color w:val="000000" w:themeColor="text1"/>
                <w:kern w:val="0"/>
              </w:rPr>
              <w:t>项目流程管理模块</w:t>
            </w:r>
            <w:r>
              <w:rPr>
                <w:rFonts w:hint="eastAsia" w:ascii="宋体" w:hAnsi="宋体" w:cs="宋体"/>
                <w:color w:val="000000" w:themeColor="text1"/>
                <w:kern w:val="0"/>
              </w:rPr>
              <w:t>-要求系统支持对项目流程的完整模拟，提供项目实训、技能测试等内容学生的完成情况和提交情况。</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虚拟仿真系统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虚拟仿真模板-</w:t>
            </w:r>
            <w:r>
              <w:rPr>
                <w:rFonts w:hint="eastAsia" w:ascii="宋体" w:hAnsi="宋体" w:cs="宋体"/>
                <w:color w:val="000000" w:themeColor="text1"/>
                <w:kern w:val="0"/>
              </w:rPr>
              <w:t>虚拟化设备支持包括网络设备、基础服务器、web服务器、数据库、PC终端、武器库等实验室母版和模板镜像系统，母版为基础镜像，模板集成测试环境，支持虚拟机模板和母版的管理功能。</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8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★☆镜像管理模块</w:t>
            </w:r>
            <w:r>
              <w:rPr>
                <w:rFonts w:hint="eastAsia" w:ascii="宋体" w:hAnsi="宋体" w:cs="宋体"/>
                <w:color w:val="000000" w:themeColor="text1"/>
                <w:kern w:val="0"/>
              </w:rPr>
              <w:t>-支持用户根据历史镜像选择文件形式生成自己的镜像，生成后系统自动纪录镜像的状态、大小等信息，可对系统镜像资源的查询，查询支持镜像名称的关键字查询方式，支持镜像的分类管理。</w:t>
            </w:r>
            <w:r>
              <w:rPr>
                <w:rFonts w:hint="eastAsia" w:ascii="宋体" w:hAnsi="宋体" w:cs="宋体"/>
                <w:b/>
                <w:color w:val="000000" w:themeColor="text1"/>
                <w:kern w:val="0"/>
              </w:rPr>
              <w:t>（提供功能截图加盖投标人公章并现场功能演示）</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7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虚拟机管理模块-支持虚拟化机的自动安装和快速克隆功能,可查看对虚拟化设备使用情况的查看，包含所属课程（项目）、操作人、操作状态等操作详情。</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▲支持虚拟机镜像模板的管理功能，可对模板信息进行编辑，包含模板名称、描述信息等，支持虚拟机模板在线启动查看，启动时可动态设置CPU数量及内存大小。</w:t>
            </w:r>
            <w:r>
              <w:rPr>
                <w:rFonts w:hint="eastAsia" w:ascii="宋体" w:hAnsi="宋体" w:cs="宋体"/>
                <w:b/>
                <w:color w:val="000000" w:themeColor="text1"/>
                <w:kern w:val="0"/>
              </w:rPr>
              <w:t>（提供功能截图加盖投标人公章）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color w:val="000000" w:themeColor="text1"/>
                <w:kern w:val="0"/>
              </w:rPr>
              <w:t>支持虚拟机一键启动校验，记录拓扑内虚拟机的启动情况，对于启动异常的虚拟机设备给与提示。</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3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实验操作管理模块</w:t>
            </w:r>
            <w:r>
              <w:rPr>
                <w:rFonts w:hint="eastAsia" w:ascii="宋体" w:hAnsi="宋体" w:cs="宋体"/>
                <w:color w:val="000000" w:themeColor="text1"/>
                <w:kern w:val="0"/>
              </w:rPr>
              <w:t>-学员进行实验时，平台需支持学员电脑直接对目标环境的访问以及通过web虚拟桌面的方式进行操作两种实验形式。</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418"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7</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虚实结合管理系统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color w:val="000000" w:themeColor="text1"/>
              </w:rPr>
            </w:pPr>
            <w:r>
              <w:rPr>
                <w:rFonts w:hint="eastAsia" w:ascii="宋体" w:hAnsi="宋体" w:cs="宋体"/>
                <w:b/>
                <w:color w:val="000000" w:themeColor="text1"/>
                <w:kern w:val="0"/>
              </w:rPr>
              <w:t>★☆拓扑管理模块</w:t>
            </w:r>
            <w:r>
              <w:rPr>
                <w:rFonts w:hint="eastAsia" w:ascii="宋体" w:hAnsi="宋体" w:cs="宋体"/>
                <w:color w:val="000000" w:themeColor="text1"/>
                <w:kern w:val="0"/>
              </w:rPr>
              <w:t>-平台支持自定义网络拓扑功能，可通过名称、ID等方式模糊查询标靶单元，支持以拓扑拖拽形式选择标靶单元进行组建，提供拓扑图、显示、放大显示、鼠标缩放等拓扑查看功能。</w:t>
            </w:r>
            <w:r>
              <w:rPr>
                <w:rFonts w:hint="eastAsia" w:ascii="宋体" w:hAnsi="宋体" w:cs="宋体"/>
                <w:b/>
                <w:color w:val="000000" w:themeColor="text1"/>
                <w:kern w:val="0"/>
              </w:rPr>
              <w:t>（提供功能截图加盖投标人公章并现场功能演示）</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2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color w:val="000000" w:themeColor="text1"/>
              </w:rPr>
            </w:pPr>
            <w:r>
              <w:rPr>
                <w:rFonts w:hint="eastAsia" w:ascii="宋体" w:hAnsi="宋体" w:cs="宋体"/>
                <w:color w:val="000000" w:themeColor="text1"/>
                <w:kern w:val="0"/>
              </w:rPr>
              <w:t>系统提供拓扑的管理功能，可实现创建拓扑、修改拓扑、删除拓扑。</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7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color w:val="000000" w:themeColor="text1"/>
              </w:rPr>
            </w:pPr>
            <w:r>
              <w:rPr>
                <w:rFonts w:hint="eastAsia" w:ascii="宋体" w:hAnsi="宋体" w:cs="宋体"/>
                <w:color w:val="000000" w:themeColor="text1"/>
                <w:kern w:val="0"/>
              </w:rPr>
              <w:t>系统支持可视化视图，可视化视图场景化的实验操作模式体验，可形象展示设备详情以及网络连接情况，可视化视图贯穿实验、项目等实操环节；支持拓扑内标靶的检索、快速预览和重复利用。</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bCs/>
                <w:color w:val="000000" w:themeColor="text1"/>
              </w:rPr>
            </w:pPr>
            <w:r>
              <w:rPr>
                <w:rFonts w:hint="eastAsia" w:ascii="宋体" w:hAnsi="宋体" w:cs="宋体"/>
                <w:b/>
                <w:color w:val="000000" w:themeColor="text1"/>
                <w:kern w:val="0"/>
              </w:rPr>
              <w:t>★☆拓扑配置模块-</w:t>
            </w:r>
            <w:r>
              <w:rPr>
                <w:rFonts w:hint="eastAsia" w:ascii="宋体" w:hAnsi="宋体" w:cs="宋体"/>
                <w:color w:val="000000" w:themeColor="text1"/>
                <w:kern w:val="0"/>
              </w:rPr>
              <w:t>单机实验及网络实验课时添加支持自定义网络拓扑，可对拓扑中的元素进行镜像模板、CPU、内存、磁盘、是否可见等参数信息进行配置。同时支持共享元素，可通过域名或IP，实现共享访问。可灵活自定义拓扑的链路连接结构。在局域网或实验环境中可使用图形化和命令行远程工具连接拓扑环境中的虚拟机。</w:t>
            </w:r>
            <w:r>
              <w:rPr>
                <w:rFonts w:hint="eastAsia" w:ascii="宋体" w:hAnsi="宋体" w:cs="宋体"/>
                <w:b/>
                <w:color w:val="000000" w:themeColor="text1"/>
                <w:kern w:val="0"/>
              </w:rPr>
              <w:t>（提供功能截图加盖投标人公章并现场功能演示）</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color w:val="000000" w:themeColor="text1"/>
              </w:rPr>
            </w:pPr>
            <w:r>
              <w:rPr>
                <w:rFonts w:hint="eastAsia" w:ascii="宋体" w:hAnsi="宋体" w:cs="宋体"/>
                <w:b/>
                <w:color w:val="000000" w:themeColor="text1"/>
                <w:kern w:val="0"/>
              </w:rPr>
              <w:t>拓扑展现模块-</w:t>
            </w:r>
            <w:r>
              <w:rPr>
                <w:rFonts w:hint="eastAsia" w:ascii="宋体" w:hAnsi="宋体" w:cs="宋体"/>
                <w:color w:val="000000" w:themeColor="text1"/>
                <w:kern w:val="0"/>
              </w:rPr>
              <w:t>物理设备创建完成后在实验拓扑环境中显示，并支持实验环境中资产拖拽。</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color w:val="000000" w:themeColor="text1"/>
              </w:rPr>
            </w:pPr>
            <w:r>
              <w:rPr>
                <w:rFonts w:hint="eastAsia" w:ascii="宋体" w:hAnsi="宋体" w:cs="宋体"/>
                <w:b/>
                <w:color w:val="000000" w:themeColor="text1"/>
                <w:kern w:val="0"/>
              </w:rPr>
              <w:t>设备管理模块-</w:t>
            </w:r>
            <w:r>
              <w:rPr>
                <w:rFonts w:hint="eastAsia" w:ascii="宋体" w:hAnsi="宋体" w:cs="宋体"/>
                <w:color w:val="000000" w:themeColor="text1"/>
                <w:kern w:val="0"/>
              </w:rPr>
              <w:t>平台支持外置物理安全设备的接入，包含防火墙、IPS、IDS、VPN、WAF，提供自定义设备管理功能，包含设备名称、分类、串口端口、所属小组等基本信息。</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top"/>
              <w:rPr>
                <w:rFonts w:ascii="宋体" w:hAnsi="宋体" w:cs="宋体"/>
                <w:b/>
                <w:color w:val="000000" w:themeColor="text1"/>
              </w:rPr>
            </w:pPr>
            <w:r>
              <w:rPr>
                <w:rFonts w:hint="eastAsia" w:ascii="宋体" w:hAnsi="宋体" w:cs="宋体"/>
                <w:b/>
                <w:color w:val="000000" w:themeColor="text1"/>
                <w:kern w:val="0"/>
              </w:rPr>
              <w:t>资产管理模块-</w:t>
            </w:r>
            <w:r>
              <w:rPr>
                <w:rFonts w:hint="eastAsia" w:ascii="宋体" w:hAnsi="宋体" w:cs="宋体"/>
                <w:color w:val="000000" w:themeColor="text1"/>
                <w:kern w:val="0"/>
              </w:rPr>
              <w:t>平台支持所添加的真实设备资产的设备名称、设备类型、设备图标、设备面板、设备描述、账号、密码等信息修改。</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
                <w:color w:val="000000" w:themeColor="text1"/>
              </w:rPr>
            </w:pPr>
            <w:r>
              <w:rPr>
                <w:rFonts w:hint="eastAsia" w:ascii="宋体" w:hAnsi="宋体" w:cs="宋体"/>
                <w:b/>
                <w:color w:val="000000" w:themeColor="text1"/>
                <w:kern w:val="0"/>
              </w:rPr>
              <w:t>实验监控模块</w:t>
            </w:r>
            <w:r>
              <w:rPr>
                <w:rFonts w:hint="eastAsia" w:ascii="宋体" w:hAnsi="宋体" w:cs="宋体"/>
                <w:color w:val="000000" w:themeColor="text1"/>
                <w:kern w:val="0"/>
              </w:rPr>
              <w:t>-支持实验以小组形式下发，支持教师监控功能，教师可远程监控学员正在进行的实验操作。</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
                <w:color w:val="000000" w:themeColor="text1"/>
              </w:rPr>
            </w:pPr>
            <w:r>
              <w:rPr>
                <w:rFonts w:hint="eastAsia" w:ascii="宋体" w:hAnsi="宋体" w:cs="宋体"/>
                <w:b/>
                <w:color w:val="000000" w:themeColor="text1"/>
                <w:kern w:val="0"/>
              </w:rPr>
              <w:t>环境还原模块-</w:t>
            </w:r>
            <w:r>
              <w:rPr>
                <w:rFonts w:hint="eastAsia" w:ascii="宋体" w:hAnsi="宋体" w:cs="宋体"/>
                <w:color w:val="000000" w:themeColor="text1"/>
                <w:kern w:val="0"/>
              </w:rPr>
              <w:t>提供目标环境还原接口，教师可通过webconsole的方式对目标环境进行还原</w:t>
            </w:r>
            <w:r>
              <w:rPr>
                <w:rFonts w:hint="eastAsia" w:ascii="宋体" w:hAnsi="宋体" w:cs="宋体"/>
                <w:b/>
                <w:color w:val="000000" w:themeColor="text1"/>
                <w:kern w:val="0"/>
              </w:rPr>
              <w:t>。</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7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8</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安全攻防演练系统</w:t>
            </w: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bCs/>
                <w:color w:val="000000" w:themeColor="text1"/>
                <w:kern w:val="0"/>
              </w:rPr>
              <w:t>能够支持</w:t>
            </w:r>
            <w:r>
              <w:rPr>
                <w:rFonts w:hint="eastAsia" w:ascii="宋体" w:hAnsi="宋体" w:cs="宋体"/>
                <w:color w:val="000000" w:themeColor="text1"/>
                <w:kern w:val="0"/>
              </w:rPr>
              <w:t>≥</w:t>
            </w:r>
            <w:r>
              <w:rPr>
                <w:rFonts w:hint="eastAsia" w:ascii="宋体" w:hAnsi="宋体" w:cs="宋体"/>
                <w:bCs/>
                <w:color w:val="000000" w:themeColor="text1"/>
                <w:kern w:val="0"/>
              </w:rPr>
              <w:t>1000人同时在线选择题、技能题，</w:t>
            </w:r>
            <w:r>
              <w:rPr>
                <w:rFonts w:hint="eastAsia" w:ascii="宋体" w:hAnsi="宋体" w:cs="宋体"/>
                <w:color w:val="000000" w:themeColor="text1"/>
                <w:kern w:val="0"/>
              </w:rPr>
              <w:t>≥</w:t>
            </w:r>
            <w:r>
              <w:rPr>
                <w:rFonts w:hint="eastAsia" w:ascii="宋体" w:hAnsi="宋体" w:cs="宋体"/>
                <w:bCs/>
                <w:color w:val="000000" w:themeColor="text1"/>
                <w:kern w:val="0"/>
              </w:rPr>
              <w:t>60支队伍的CTF夺旗、擂台对抗、攻防对抗、AWD网络混战、</w:t>
            </w:r>
            <w:r>
              <w:rPr>
                <w:rFonts w:hint="eastAsia" w:ascii="宋体" w:hAnsi="宋体" w:cs="宋体"/>
                <w:color w:val="000000" w:themeColor="text1"/>
                <w:kern w:val="0"/>
              </w:rPr>
              <w:t>取证溯源、企业环境渗透、安全加固</w:t>
            </w:r>
            <w:r>
              <w:rPr>
                <w:rFonts w:hint="eastAsia" w:ascii="宋体" w:hAnsi="宋体" w:cs="宋体"/>
                <w:bCs/>
                <w:color w:val="000000" w:themeColor="text1"/>
                <w:kern w:val="0"/>
              </w:rPr>
              <w:t>等主流竞赛项目。</w:t>
            </w:r>
            <w:r>
              <w:rPr>
                <w:rFonts w:hint="eastAsia" w:ascii="宋体" w:hAnsi="宋体" w:cs="宋体"/>
                <w:color w:val="000000" w:themeColor="text1"/>
                <w:kern w:val="0"/>
              </w:rPr>
              <w:t>▲</w:t>
            </w:r>
            <w:r>
              <w:rPr>
                <w:rFonts w:hint="eastAsia" w:ascii="宋体" w:hAnsi="宋体" w:cs="宋体"/>
                <w:bCs/>
                <w:color w:val="000000" w:themeColor="text1"/>
                <w:kern w:val="0"/>
              </w:rPr>
              <w:t>要求能够</w:t>
            </w:r>
            <w:r>
              <w:rPr>
                <w:rFonts w:hint="eastAsia" w:ascii="宋体" w:hAnsi="宋体" w:cs="宋体"/>
                <w:color w:val="000000" w:themeColor="text1"/>
                <w:kern w:val="0"/>
              </w:rPr>
              <w:t>自定义竞赛环境。</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57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rPr>
            </w:pPr>
            <w:r>
              <w:rPr>
                <w:rFonts w:hint="eastAsia" w:ascii="宋体" w:hAnsi="宋体" w:cs="宋体"/>
                <w:b/>
                <w:color w:val="000000" w:themeColor="text1"/>
                <w:kern w:val="0"/>
              </w:rPr>
              <w:t>用户管理模块</w:t>
            </w:r>
            <w:r>
              <w:rPr>
                <w:rFonts w:hint="eastAsia" w:ascii="宋体" w:hAnsi="宋体" w:cs="宋体"/>
                <w:bCs/>
                <w:color w:val="000000" w:themeColor="text1"/>
                <w:kern w:val="0"/>
              </w:rPr>
              <w:t>-提供管理员、教师、学生等用户角色；管理员可对账户进行批量操作，包括导入、新增、删除和修改等。</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b/>
                <w:color w:val="000000" w:themeColor="text1"/>
              </w:rPr>
            </w:pPr>
            <w:r>
              <w:rPr>
                <w:rFonts w:hint="eastAsia" w:ascii="宋体" w:hAnsi="宋体" w:cs="宋体"/>
                <w:b/>
                <w:color w:val="000000" w:themeColor="text1"/>
                <w:kern w:val="0"/>
              </w:rPr>
              <w:t>赛事公告模块-</w:t>
            </w:r>
            <w:r>
              <w:rPr>
                <w:rFonts w:hint="eastAsia" w:ascii="宋体" w:hAnsi="宋体" w:cs="宋体"/>
                <w:bCs/>
                <w:color w:val="000000" w:themeColor="text1"/>
                <w:kern w:val="0"/>
              </w:rPr>
              <w:t>管理员可通过比赛公告对所有竞赛人员下发消息通知；支持对比赛logo、系统信息、服务监控、监控时间间隔、位置信息进行自定义设置。</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b/>
                <w:color w:val="000000" w:themeColor="text1"/>
              </w:rPr>
            </w:pPr>
            <w:r>
              <w:rPr>
                <w:rFonts w:hint="eastAsia" w:ascii="宋体" w:hAnsi="宋体" w:cs="宋体"/>
                <w:b/>
                <w:color w:val="000000" w:themeColor="text1"/>
                <w:kern w:val="0"/>
              </w:rPr>
              <w:t>竞赛管理模块-</w:t>
            </w:r>
            <w:r>
              <w:rPr>
                <w:rFonts w:hint="eastAsia" w:ascii="宋体" w:hAnsi="宋体" w:cs="宋体"/>
                <w:color w:val="000000" w:themeColor="text1"/>
                <w:kern w:val="0"/>
              </w:rPr>
              <w:t>-提供全面的竞赛过程管理功能，管理员可对竞赛过程中竞赛行为进行监控和管理。支持对比赛开始时间、比赛时长等进行配置，提供系统提供减分功能，管理员可根据竞赛规则对违规竞赛人员进行减分操作，提供扣分提示开关功能。</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b/>
                <w:color w:val="000000" w:themeColor="text1"/>
              </w:rPr>
            </w:pPr>
            <w:r>
              <w:rPr>
                <w:rFonts w:hint="eastAsia" w:ascii="宋体" w:hAnsi="宋体" w:cs="宋体"/>
                <w:b/>
                <w:color w:val="000000" w:themeColor="text1"/>
                <w:kern w:val="0"/>
              </w:rPr>
              <w:t>CTF模块-</w:t>
            </w:r>
            <w:r>
              <w:rPr>
                <w:rFonts w:hint="eastAsia" w:ascii="宋体" w:hAnsi="宋体" w:cs="宋体"/>
                <w:color w:val="000000" w:themeColor="text1"/>
                <w:kern w:val="0"/>
              </w:rPr>
              <w:t>提供解题思路开关服务，服务开启系统提供解决思路，在提交错误Flag情况下支持智能推荐相关课程；CTF平台管理支持支持编辑、删除、批量删除、筛选等操作；支持关键字模糊搜索CTF题目；支持开启关闭Write-up，关闭之后前台用户无法查看CTF题目解题思路。</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99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kern w:val="0"/>
              </w:rPr>
            </w:pPr>
            <w:r>
              <w:rPr>
                <w:rFonts w:hint="eastAsia" w:ascii="宋体" w:hAnsi="宋体" w:cs="宋体"/>
                <w:b/>
                <w:color w:val="000000" w:themeColor="text1"/>
                <w:kern w:val="0"/>
              </w:rPr>
              <w:t>擂台对抗系统</w:t>
            </w:r>
            <w:r>
              <w:rPr>
                <w:rFonts w:hint="eastAsia" w:ascii="宋体" w:hAnsi="宋体" w:cs="宋体"/>
                <w:color w:val="000000" w:themeColor="text1"/>
                <w:kern w:val="0"/>
              </w:rPr>
              <w:t>-1.要求提供擂主靶机设计功能，支持对靶机的网络名称、网络地址、网关IP、分配地址池、DNS域名解析服务、连接设备等参数的编辑；支持是否对攻擂选手显示拓扑图，该功能的开启可帮助夺擂者获取对应靶机的IP地址便于夺擂；</w:t>
            </w:r>
          </w:p>
          <w:p>
            <w:pPr>
              <w:widowControl/>
              <w:textAlignment w:val="center"/>
              <w:rPr>
                <w:rFonts w:ascii="宋体" w:hAnsi="宋体" w:cs="宋体"/>
                <w:color w:val="000000" w:themeColor="text1"/>
                <w:kern w:val="0"/>
              </w:rPr>
            </w:pPr>
            <w:r>
              <w:rPr>
                <w:rFonts w:hint="eastAsia" w:ascii="宋体" w:hAnsi="宋体" w:cs="宋体"/>
                <w:color w:val="000000" w:themeColor="text1"/>
                <w:kern w:val="0"/>
              </w:rPr>
              <w:t>2.支持夺擂操作区包括擂主拓扑查看、倒计时显示、Flag提交等功能；要求拓扑显示攻陷状态、运行状态、擂主服务器的IP；要求系统提供夺擂通道支持投诉、举报方式、比赛规则的说明，同时具有放大、缩小和隐藏的功能；支持得分排行榜功能显示该队伍的得分情况；</w:t>
            </w:r>
          </w:p>
          <w:p>
            <w:pPr>
              <w:widowControl/>
              <w:textAlignment w:val="center"/>
              <w:rPr>
                <w:rFonts w:ascii="宋体" w:hAnsi="宋体" w:cs="宋体"/>
                <w:b/>
                <w:color w:val="000000" w:themeColor="text1"/>
              </w:rPr>
            </w:pPr>
            <w:r>
              <w:rPr>
                <w:rFonts w:hint="eastAsia" w:ascii="宋体" w:hAnsi="宋体" w:cs="宋体"/>
                <w:color w:val="000000" w:themeColor="text1"/>
                <w:kern w:val="0"/>
              </w:rPr>
              <w:t>3.擂台系统的工作流程顺序为管理员创建第一轮比赛擂主队伍，擂主队伍对比赛环境进行设定，设定完毕后提交管理员进行审核，管理员进行审核后可设置比赛是否开始，比赛开始后，其他队伍可查看到擂主设定的比赛环境，并进行比赛。</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2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b/>
                <w:color w:val="000000" w:themeColor="text1"/>
              </w:rPr>
            </w:pPr>
            <w:r>
              <w:rPr>
                <w:rFonts w:hint="eastAsia" w:ascii="宋体" w:hAnsi="宋体" w:cs="宋体"/>
                <w:b/>
                <w:color w:val="000000" w:themeColor="text1"/>
                <w:kern w:val="0"/>
              </w:rPr>
              <w:t>对抗系统-</w:t>
            </w:r>
            <w:r>
              <w:rPr>
                <w:rFonts w:hint="eastAsia" w:ascii="宋体" w:hAnsi="宋体" w:cs="宋体"/>
                <w:color w:val="000000" w:themeColor="text1"/>
                <w:kern w:val="0"/>
              </w:rPr>
              <w:t>要求比赛界面显示竞赛名称、比赛倒计时、服务监控状态、比赛信息、通知栏、靶机信息、排行榜、Flag提交窗口；比赛信息包括所属队伍、队员名称、开始时间、比赛限时；通知栏实时显示比赛信息；服务监控支持显示未开启、服务正常、服务异常、被攻陷等状态；排行榜信息支持滚动显示队伍名称、总分、攻击分、防守分、奖惩分等。</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3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b/>
                <w:color w:val="000000" w:themeColor="text1"/>
              </w:rPr>
            </w:pPr>
            <w:r>
              <w:rPr>
                <w:rFonts w:hint="eastAsia" w:ascii="宋体" w:hAnsi="宋体" w:cs="宋体"/>
                <w:b/>
                <w:color w:val="000000" w:themeColor="text1"/>
                <w:kern w:val="0"/>
              </w:rPr>
              <w:t>分数管理模块</w:t>
            </w:r>
            <w:r>
              <w:rPr>
                <w:rFonts w:hint="eastAsia" w:ascii="宋体" w:hAnsi="宋体" w:cs="宋体"/>
                <w:color w:val="000000" w:themeColor="text1"/>
                <w:kern w:val="0"/>
              </w:rPr>
              <w:t>-管理员可通过裁判操作界面进行对发现的恶意攻击情况进行扣分及公告，同时对比赛中的表现良好的队伍进行分数后台添加。</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b/>
                <w:color w:val="000000" w:themeColor="text1"/>
              </w:rPr>
            </w:pPr>
            <w:r>
              <w:rPr>
                <w:rFonts w:hint="eastAsia" w:ascii="宋体" w:hAnsi="宋体" w:cs="宋体"/>
                <w:b/>
                <w:color w:val="000000" w:themeColor="text1"/>
                <w:kern w:val="0"/>
              </w:rPr>
              <w:t>大屏展示模块-</w:t>
            </w:r>
            <w:r>
              <w:rPr>
                <w:rFonts w:hint="eastAsia" w:ascii="宋体" w:hAnsi="宋体" w:cs="宋体"/>
                <w:color w:val="000000" w:themeColor="text1"/>
                <w:kern w:val="0"/>
              </w:rPr>
              <w:t>提供生动、形象的展示界面，主要分为竞赛人员答题界面和竞赛过程展示界面：竞赛过程展示页面支持棋盘或地图或星际空间等展示方式。</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rPr>
            </w:pPr>
            <w:r>
              <w:rPr>
                <w:rFonts w:hint="eastAsia" w:ascii="宋体" w:hAnsi="宋体" w:cs="宋体"/>
                <w:color w:val="000000" w:themeColor="text1"/>
                <w:kern w:val="0"/>
              </w:rPr>
              <w:t>1、竞赛人员在答题界面能够实时查看个人排名、得分情况、比赛公告、比赛时间等相关比赛信息。</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5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rPr>
            </w:pPr>
            <w:r>
              <w:rPr>
                <w:rFonts w:hint="eastAsia" w:ascii="宋体" w:hAnsi="宋体" w:cs="宋体"/>
                <w:color w:val="000000" w:themeColor="text1"/>
                <w:kern w:val="0"/>
              </w:rPr>
              <w:t>2、竞赛过程展示界面能够实时显示竞赛所有竞赛人员的得分、排名、时间等竞赛信息。</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r>
        <w:tblPrEx>
          <w:tblCellMar>
            <w:top w:w="0" w:type="dxa"/>
            <w:left w:w="0" w:type="dxa"/>
            <w:bottom w:w="0" w:type="dxa"/>
            <w:right w:w="0" w:type="dxa"/>
          </w:tblCellMar>
        </w:tblPrEx>
        <w:trPr>
          <w:trHeight w:val="8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7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rPr>
            </w:pPr>
            <w:r>
              <w:rPr>
                <w:rFonts w:hint="eastAsia" w:ascii="宋体" w:hAnsi="宋体" w:cs="宋体"/>
                <w:color w:val="000000" w:themeColor="text1"/>
                <w:kern w:val="0"/>
              </w:rPr>
              <w:t>3、提供竞赛过程中的攻防行为形象展示，如动态的射线显示队伍之间的攻击行为、不同颜色射线块显示不同队伍等；系统根据竞赛人员的答题情况进行统计分析，最后以竞赛能力进度条的方式展示。</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r>
    </w:tbl>
    <w:p>
      <w:pPr>
        <w:rPr>
          <w:rFonts w:ascii="宋体" w:hAnsi="宋体" w:cs="宋体"/>
          <w:color w:val="000000" w:themeColor="text1"/>
        </w:rPr>
      </w:pPr>
    </w:p>
    <w:p>
      <w:pPr>
        <w:pStyle w:val="7"/>
        <w:spacing w:line="240" w:lineRule="auto"/>
        <w:rPr>
          <w:rFonts w:ascii="宋体" w:hAnsi="宋体" w:cs="宋体"/>
          <w:color w:val="000000" w:themeColor="text1"/>
          <w:sz w:val="28"/>
          <w:szCs w:val="28"/>
        </w:rPr>
      </w:pPr>
      <w:r>
        <w:rPr>
          <w:rFonts w:hint="eastAsia" w:ascii="宋体" w:hAnsi="宋体" w:cs="宋体"/>
          <w:color w:val="000000" w:themeColor="text1"/>
          <w:sz w:val="28"/>
          <w:szCs w:val="28"/>
        </w:rPr>
        <w:t>4.2.2网络安全职业认证考试平台</w:t>
      </w:r>
    </w:p>
    <w:tbl>
      <w:tblPr>
        <w:tblStyle w:val="45"/>
        <w:tblW w:w="10734" w:type="dxa"/>
        <w:jc w:val="center"/>
        <w:tblLayout w:type="fixed"/>
        <w:tblCellMar>
          <w:top w:w="0" w:type="dxa"/>
          <w:left w:w="0" w:type="dxa"/>
          <w:bottom w:w="0" w:type="dxa"/>
          <w:right w:w="0" w:type="dxa"/>
        </w:tblCellMar>
      </w:tblPr>
      <w:tblGrid>
        <w:gridCol w:w="612"/>
        <w:gridCol w:w="1666"/>
        <w:gridCol w:w="7293"/>
        <w:gridCol w:w="588"/>
        <w:gridCol w:w="575"/>
      </w:tblGrid>
      <w:tr>
        <w:tblPrEx>
          <w:tblCellMar>
            <w:top w:w="0" w:type="dxa"/>
            <w:left w:w="0" w:type="dxa"/>
            <w:bottom w:w="0" w:type="dxa"/>
            <w:right w:w="0" w:type="dxa"/>
          </w:tblCellMar>
        </w:tblPrEx>
        <w:trPr>
          <w:trHeight w:val="297"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产品名称</w:t>
            </w:r>
          </w:p>
        </w:tc>
        <w:tc>
          <w:tcPr>
            <w:tcW w:w="7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792"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rPr>
              <w:t>认证考试平台</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kern w:val="0"/>
              </w:rPr>
              <w:t>投标人根据各自企业情况提供企业职业认证考试系统的功能模块与职业认证方式。</w:t>
            </w:r>
            <w:r>
              <w:rPr>
                <w:rFonts w:hint="eastAsia" w:ascii="宋体" w:hAnsi="宋体" w:cs="宋体"/>
                <w:b/>
                <w:color w:val="000000" w:themeColor="text1"/>
                <w:kern w:val="0"/>
              </w:rPr>
              <w:t>（提供功能截图加盖投标人公章，至少包括认证证书、客观试卷、实操试卷、认证考试报告、认证考生报告等五项）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bl>
    <w:p>
      <w:pPr>
        <w:rPr>
          <w:rFonts w:ascii="宋体" w:hAnsi="宋体" w:cs="宋体"/>
          <w:color w:val="000000" w:themeColor="text1"/>
        </w:rPr>
      </w:pPr>
    </w:p>
    <w:p>
      <w:pPr>
        <w:pStyle w:val="7"/>
        <w:spacing w:line="240" w:lineRule="auto"/>
        <w:rPr>
          <w:rFonts w:ascii="宋体" w:hAnsi="宋体" w:cs="宋体"/>
          <w:color w:val="000000" w:themeColor="text1"/>
          <w:sz w:val="28"/>
          <w:szCs w:val="28"/>
        </w:rPr>
      </w:pPr>
      <w:r>
        <w:rPr>
          <w:rFonts w:hint="eastAsia" w:ascii="宋体" w:hAnsi="宋体" w:cs="宋体"/>
          <w:color w:val="000000" w:themeColor="text1"/>
          <w:sz w:val="28"/>
          <w:szCs w:val="28"/>
        </w:rPr>
        <w:t>4.2.3  云计算安全实验室</w:t>
      </w:r>
    </w:p>
    <w:tbl>
      <w:tblPr>
        <w:tblStyle w:val="45"/>
        <w:tblW w:w="10749" w:type="dxa"/>
        <w:jc w:val="center"/>
        <w:tblLayout w:type="fixed"/>
        <w:tblCellMar>
          <w:top w:w="0" w:type="dxa"/>
          <w:left w:w="0" w:type="dxa"/>
          <w:bottom w:w="0" w:type="dxa"/>
          <w:right w:w="0" w:type="dxa"/>
        </w:tblCellMar>
      </w:tblPr>
      <w:tblGrid>
        <w:gridCol w:w="620"/>
        <w:gridCol w:w="1638"/>
        <w:gridCol w:w="7345"/>
        <w:gridCol w:w="572"/>
        <w:gridCol w:w="574"/>
      </w:tblGrid>
      <w:tr>
        <w:tblPrEx>
          <w:tblCellMar>
            <w:top w:w="0" w:type="dxa"/>
            <w:left w:w="0" w:type="dxa"/>
            <w:bottom w:w="0" w:type="dxa"/>
            <w:right w:w="0" w:type="dxa"/>
          </w:tblCellMar>
        </w:tblPrEx>
        <w:trPr>
          <w:trHeight w:val="263" w:hRule="atLeast"/>
          <w:tblHeade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产品名称</w:t>
            </w:r>
          </w:p>
        </w:tc>
        <w:tc>
          <w:tcPr>
            <w:tcW w:w="7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9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云基础架构平台软件</w:t>
            </w:r>
          </w:p>
        </w:tc>
        <w:tc>
          <w:tcPr>
            <w:tcW w:w="7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1、平台支持基于Docker容器开放式云平台架构和基于OpenStack的云平台架构的混合架构模式。基于Docker容器开放式云平台架构优势：更高效的利用系统资源、秒级、甚至毫秒级的启动时间、更轻松的迁移、更轻松的维护和扩展；基于OpenStack的云平台架构优势：实现对内部的虚拟机资源分配管理，虚拟机在线迁移和冷迁移实现。</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2、镜像管理功能：支持显示OpenStack和Docker镜像列表、能从Docker容器创建新镜像、要求能够从Dockerfile构建镜像、从 registry 下载镜像、能将OpenStack镜像和Docker镜像上传到镜像仓库、能够删除Docker镜像和OpenStack镜像、支持修改镜像支持使用Dockerfile构建镜像。</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3、配额调度：启动/停止/重启容器和OpenStack虚拟机、暂停/恢复容器、删除容器和OpenStack虚拟机、重置OpenStack虚拟机密码、限制虚拟机、容器对CPU的使用、限制虚拟机、容器对内存的使用、限制容器对Block IO的使用、限制虚拟机对根磁盘的使用。支持私有Docker Registry，用户可在本地搭建私有 Docker Registry。</w:t>
            </w:r>
            <w:r>
              <w:rPr>
                <w:rFonts w:hint="eastAsia" w:ascii="宋体" w:hAnsi="宋体" w:cs="宋体"/>
                <w:color w:val="000000" w:themeColor="text1"/>
                <w:kern w:val="0"/>
              </w:rPr>
              <w:br w:type="textWrapping"/>
            </w:r>
            <w:r>
              <w:rPr>
                <w:rFonts w:hint="eastAsia" w:ascii="宋体" w:hAnsi="宋体" w:cs="宋体"/>
                <w:color w:val="000000" w:themeColor="text1"/>
                <w:kern w:val="0"/>
              </w:rPr>
              <w:t>4、支持认证、授权、访问控制、API注册和发现等机制。</w:t>
            </w:r>
            <w:r>
              <w:rPr>
                <w:rFonts w:hint="eastAsia" w:ascii="宋体" w:hAnsi="宋体" w:cs="宋体"/>
                <w:color w:val="000000" w:themeColor="text1"/>
                <w:kern w:val="0"/>
              </w:rPr>
              <w:br w:type="textWrapping"/>
            </w:r>
            <w:r>
              <w:rPr>
                <w:rFonts w:hint="eastAsia" w:ascii="宋体" w:hAnsi="宋体" w:cs="宋体"/>
                <w:color w:val="000000" w:themeColor="text1"/>
                <w:kern w:val="0"/>
              </w:rPr>
              <w:t>5、支持维护Docker、OpenStack集群状态，比如故障检测、自动扩展。</w:t>
            </w:r>
            <w:r>
              <w:rPr>
                <w:rFonts w:hint="eastAsia" w:ascii="宋体" w:hAnsi="宋体" w:cs="宋体"/>
                <w:color w:val="000000" w:themeColor="text1"/>
                <w:kern w:val="0"/>
              </w:rPr>
              <w:br w:type="textWrapping"/>
            </w:r>
            <w:r>
              <w:rPr>
                <w:rFonts w:hint="eastAsia" w:ascii="宋体" w:hAnsi="宋体" w:cs="宋体"/>
                <w:color w:val="000000" w:themeColor="text1"/>
                <w:kern w:val="0"/>
              </w:rPr>
              <w:t>6、支持OpenStack虚拟机管理器的概述。</w:t>
            </w:r>
            <w:r>
              <w:rPr>
                <w:rFonts w:hint="eastAsia" w:ascii="宋体" w:hAnsi="宋体" w:cs="宋体"/>
                <w:color w:val="000000" w:themeColor="text1"/>
                <w:kern w:val="0"/>
              </w:rPr>
              <w:br w:type="textWrapping"/>
            </w:r>
            <w:r>
              <w:rPr>
                <w:rFonts w:hint="eastAsia" w:ascii="宋体" w:hAnsi="宋体" w:cs="宋体"/>
                <w:color w:val="000000" w:themeColor="text1"/>
                <w:kern w:val="0"/>
              </w:rPr>
              <w:t>7、支持维护容器、OpenStack虚拟机的生命周期，支持Volume和网络管理。</w:t>
            </w:r>
            <w:r>
              <w:rPr>
                <w:rFonts w:hint="eastAsia" w:ascii="宋体" w:hAnsi="宋体" w:cs="宋体"/>
                <w:color w:val="000000" w:themeColor="text1"/>
                <w:kern w:val="0"/>
              </w:rPr>
              <w:br w:type="textWrapping"/>
            </w:r>
            <w:r>
              <w:rPr>
                <w:rFonts w:hint="eastAsia" w:ascii="宋体" w:hAnsi="宋体" w:cs="宋体"/>
                <w:color w:val="000000" w:themeColor="text1"/>
                <w:kern w:val="0"/>
              </w:rPr>
              <w:t>8、支持OpenStack虚拟机的冷迁移、热迁移。</w:t>
            </w:r>
            <w:r>
              <w:rPr>
                <w:rFonts w:hint="eastAsia" w:ascii="宋体" w:hAnsi="宋体" w:cs="宋体"/>
                <w:color w:val="000000" w:themeColor="text1"/>
                <w:kern w:val="0"/>
              </w:rPr>
              <w:br w:type="textWrapping"/>
            </w:r>
            <w:r>
              <w:rPr>
                <w:rFonts w:hint="eastAsia" w:ascii="宋体" w:hAnsi="宋体" w:cs="宋体"/>
                <w:color w:val="000000" w:themeColor="text1"/>
                <w:kern w:val="0"/>
              </w:rPr>
              <w:t>9、支持负载均衡。</w:t>
            </w:r>
            <w:r>
              <w:rPr>
                <w:rFonts w:hint="eastAsia" w:ascii="宋体" w:hAnsi="宋体" w:cs="宋体"/>
                <w:color w:val="000000" w:themeColor="text1"/>
                <w:kern w:val="0"/>
              </w:rPr>
              <w:br w:type="textWrapping"/>
            </w:r>
            <w:r>
              <w:rPr>
                <w:rFonts w:hint="eastAsia" w:ascii="宋体" w:hAnsi="宋体" w:cs="宋体"/>
                <w:color w:val="000000" w:themeColor="text1"/>
                <w:kern w:val="0"/>
              </w:rPr>
              <w:t>10、可提供教学所需的镜像资源。</w:t>
            </w:r>
            <w:r>
              <w:rPr>
                <w:rFonts w:hint="eastAsia" w:ascii="宋体" w:hAnsi="宋体" w:cs="宋体"/>
                <w:color w:val="000000" w:themeColor="text1"/>
                <w:kern w:val="0"/>
              </w:rPr>
              <w:br w:type="textWrapping"/>
            </w:r>
            <w:r>
              <w:rPr>
                <w:rFonts w:hint="eastAsia" w:ascii="宋体" w:hAnsi="宋体" w:cs="宋体"/>
                <w:color w:val="000000" w:themeColor="text1"/>
                <w:kern w:val="0"/>
              </w:rPr>
              <w:t>11、Docker支持秒级创建容器资源。</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2237"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实训系统</w:t>
            </w:r>
          </w:p>
        </w:tc>
        <w:tc>
          <w:tcPr>
            <w:tcW w:w="7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1、院校内组织机构管理：系统支持根据院校自身管理机构进行院校内组织机构的管理，管理层级满足院校-二级院校-系-专业或者院校-二级院校--专业等多种方式进行组织机构管理。</w:t>
            </w:r>
            <w:r>
              <w:rPr>
                <w:rFonts w:hint="eastAsia" w:ascii="宋体" w:hAnsi="宋体" w:cs="宋体"/>
                <w:color w:val="000000" w:themeColor="text1"/>
                <w:kern w:val="0"/>
              </w:rPr>
              <w:br w:type="textWrapping"/>
            </w:r>
            <w:r>
              <w:rPr>
                <w:rFonts w:hint="eastAsia" w:ascii="宋体" w:hAnsi="宋体" w:cs="宋体"/>
                <w:color w:val="000000" w:themeColor="text1"/>
                <w:kern w:val="0"/>
              </w:rPr>
              <w:t>2、院校内角色自定义：系统支持根据院校自身管理进行相应角色定义及角色权限定义。</w:t>
            </w:r>
            <w:r>
              <w:rPr>
                <w:rFonts w:hint="eastAsia" w:ascii="宋体" w:hAnsi="宋体" w:cs="宋体"/>
                <w:color w:val="000000" w:themeColor="text1"/>
                <w:kern w:val="0"/>
              </w:rPr>
              <w:br w:type="textWrapping"/>
            </w:r>
            <w:r>
              <w:rPr>
                <w:rFonts w:hint="eastAsia" w:ascii="宋体" w:hAnsi="宋体" w:cs="宋体"/>
                <w:color w:val="000000" w:themeColor="text1"/>
                <w:kern w:val="0"/>
              </w:rPr>
              <w:t>3、用户管理及班级管理：系统支持按照当前登录人员所处院内组织机构及角色进行用户的分级管理，以及各个专业的班级分级分域管理；支持学生的批量导入功能。</w:t>
            </w:r>
            <w:r>
              <w:rPr>
                <w:rFonts w:hint="eastAsia" w:ascii="宋体" w:hAnsi="宋体" w:cs="宋体"/>
                <w:color w:val="000000" w:themeColor="text1"/>
                <w:kern w:val="0"/>
              </w:rPr>
              <w:br w:type="textWrapping"/>
            </w:r>
            <w:r>
              <w:rPr>
                <w:rFonts w:hint="eastAsia" w:ascii="宋体" w:hAnsi="宋体" w:cs="宋体"/>
                <w:color w:val="000000" w:themeColor="text1"/>
                <w:kern w:val="0"/>
              </w:rPr>
              <w:t>4、支持课程分类及知识标签可定义：系统支持课程分类、知识标签的自定义功能，院校可以按照自身知识体系、课程分类进行设置。</w:t>
            </w:r>
          </w:p>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5、实训课程自定义管理：实训课件定义实现标准化，支持根据自定义添加实训内容，包括编辑实训内容、实训章节定义、选择实训环境、判分准则、实训课件上传附件(PDF/视频)等操作。</w:t>
            </w:r>
          </w:p>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6、支持顺序连续进行实验和非连续实验定义：系统支持根据不同课程资源及内容，支持课程按照顺序连续进行实验或者非连续由实验者进行选择实验进行实验，以便于支持对知识类或者案例类实验课程进行不同的实验管理方式。</w:t>
            </w:r>
            <w:r>
              <w:rPr>
                <w:rFonts w:hint="eastAsia" w:ascii="宋体" w:hAnsi="宋体" w:cs="宋体"/>
                <w:color w:val="000000" w:themeColor="text1"/>
                <w:kern w:val="0"/>
              </w:rPr>
              <w:br w:type="textWrapping"/>
            </w:r>
            <w:r>
              <w:rPr>
                <w:rFonts w:hint="eastAsia" w:ascii="宋体" w:hAnsi="宋体" w:cs="宋体"/>
                <w:color w:val="000000" w:themeColor="text1"/>
                <w:kern w:val="0"/>
              </w:rPr>
              <w:t>7、支持实训环境定义：系统支持为课程设置实训环境，系统内嵌部署课程技能实训所需的实训环境，在课程定义时进行实训环境定义，学员实训时按照实验定义对实验环境进行分配或加载，保障整体实验资源的高效利用。系统支持按照实验或者课程设置不同的实验环境，可以在同一门课程中，按照不同实验内容，对某些实验特殊要求进行实验环境定义。</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8、开课：支持开课老师与授课老师分离，开课时可以选择自己或者其他老师进行授课。开课可以按照教学班进行开课，开课过程中可以选择一个行政班进行教学，也可以支持选择多个行政班级进行大班制教学。</w:t>
            </w:r>
          </w:p>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9、实验环境管理：系统支持开课老师或者授课老师对自己教学班进行实验环境管理，支持自己教学班学生的实验环境进行开机、关机、重启等功能。</w:t>
            </w:r>
            <w:r>
              <w:rPr>
                <w:rFonts w:hint="eastAsia" w:ascii="宋体" w:hAnsi="宋体" w:cs="宋体"/>
                <w:color w:val="000000" w:themeColor="text1"/>
                <w:kern w:val="0"/>
              </w:rPr>
              <w:br w:type="textWrapping"/>
            </w:r>
            <w:r>
              <w:rPr>
                <w:rFonts w:hint="eastAsia" w:ascii="宋体" w:hAnsi="宋体" w:cs="宋体"/>
                <w:color w:val="000000" w:themeColor="text1"/>
                <w:kern w:val="0"/>
              </w:rPr>
              <w:t>10、实验报告管理：系统支持开课老师或者授课老师对自己教学班进行实验报告查阅、评语及评分等功能。</w:t>
            </w:r>
            <w:r>
              <w:rPr>
                <w:rFonts w:hint="eastAsia" w:ascii="宋体" w:hAnsi="宋体" w:cs="宋体"/>
                <w:color w:val="000000" w:themeColor="text1"/>
                <w:kern w:val="0"/>
              </w:rPr>
              <w:br w:type="textWrapping"/>
            </w:r>
            <w:r>
              <w:rPr>
                <w:rFonts w:hint="eastAsia" w:ascii="宋体" w:hAnsi="宋体" w:cs="宋体"/>
                <w:color w:val="000000" w:themeColor="text1"/>
                <w:kern w:val="0"/>
              </w:rPr>
              <w:t>11、教师实验功能：系统支持开课老师及授课老师对自己参与的课程进入实验功能，并进行实验。</w:t>
            </w:r>
            <w:r>
              <w:rPr>
                <w:rFonts w:hint="eastAsia" w:ascii="宋体" w:hAnsi="宋体" w:cs="宋体"/>
                <w:color w:val="000000" w:themeColor="text1"/>
                <w:kern w:val="0"/>
              </w:rPr>
              <w:br w:type="textWrapping"/>
            </w:r>
            <w:r>
              <w:rPr>
                <w:rFonts w:hint="eastAsia" w:ascii="宋体" w:hAnsi="宋体" w:cs="宋体"/>
                <w:color w:val="000000" w:themeColor="text1"/>
                <w:kern w:val="0"/>
              </w:rPr>
              <w:t>12、学生实验功能：学生按照课程开设要求进入自己教学班所分配课程中进行实验。</w:t>
            </w:r>
            <w:r>
              <w:rPr>
                <w:rFonts w:hint="eastAsia" w:ascii="宋体" w:hAnsi="宋体" w:cs="宋体"/>
                <w:color w:val="000000" w:themeColor="text1"/>
                <w:kern w:val="0"/>
              </w:rPr>
              <w:br w:type="textWrapping"/>
            </w:r>
            <w:r>
              <w:rPr>
                <w:rFonts w:hint="eastAsia" w:ascii="宋体" w:hAnsi="宋体" w:cs="宋体"/>
                <w:color w:val="000000" w:themeColor="text1"/>
                <w:kern w:val="0"/>
              </w:rPr>
              <w:t>13、实验辅助功能：当实验中存在多台虚拟机时，可以进行虚拟机切换；实验过程支持向虚拟机上传文件、下载文件、虚拟机截屏、粘贴板、重置实验等功能。</w:t>
            </w:r>
          </w:p>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14、实验报告提交：在实验界面支持实训操作的同时提交实训报告。</w:t>
            </w:r>
          </w:p>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15、实验报告自动判分功能：系统支持按照实验自动评分，对完成在线实训课程的实验结果，通过判分服务，自动判定学生操作的成绩，教师可以接受系统自动评分结果，也可以手动进行评分。</w:t>
            </w:r>
            <w:r>
              <w:rPr>
                <w:rFonts w:hint="eastAsia" w:ascii="宋体" w:hAnsi="宋体" w:cs="宋体"/>
                <w:color w:val="000000" w:themeColor="text1"/>
                <w:kern w:val="0"/>
              </w:rPr>
              <w:br w:type="textWrapping"/>
            </w:r>
            <w:r>
              <w:rPr>
                <w:rFonts w:hint="eastAsia" w:ascii="宋体" w:hAnsi="宋体" w:cs="宋体"/>
                <w:color w:val="000000" w:themeColor="text1"/>
                <w:kern w:val="0"/>
              </w:rPr>
              <w:t>15、我的实验及报告：系统支持实验者自身查看实验及报告功能，对于已完成的实验，实验者可查看自己提交的实验报告及教师评语、评分；对于正在进行实验，实验者可以进行继续实验、重新实验以及释放实验资源功能。</w:t>
            </w:r>
          </w:p>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16、我的实验环境：系统支持实验者对自身占用的实验环境进行管理，包括开机、关机、重启、重置密码等功能</w:t>
            </w:r>
            <w:r>
              <w:rPr>
                <w:rFonts w:hint="eastAsia" w:ascii="宋体" w:hAnsi="宋体" w:cs="宋体"/>
                <w:b/>
                <w:color w:val="000000" w:themeColor="text1"/>
                <w:kern w:val="0"/>
              </w:rPr>
              <w:t>。</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17、提供学生个人中心页面，支持对个人资料、密码等进行修改；支持最近未完成的实验进行展现，可以快速进入上一个尚未完成的实验；支持查看近期自身学习时长，展现方式支持最近一周、最近2周、最近一月多种查看方式。</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18、学生个人中心支持查看学生个人所需学习的课程信息，支持更多快速进入我的课程查看更多课程信息；支持查看个人正在进行或已完成的实验信息，支持更多快速进入我的实验及报告查看更多实验及报告功能；支持查看个人正在占用的虚拟机资源信息，可以进行开机、关机、重启、重置密码等功能，系统支持点击更多快速进入我的实验环境查看更多实验环境功能。</w:t>
            </w:r>
            <w:r>
              <w:rPr>
                <w:rFonts w:hint="eastAsia" w:ascii="宋体" w:hAnsi="宋体" w:cs="宋体"/>
                <w:color w:val="000000" w:themeColor="text1"/>
                <w:kern w:val="0"/>
              </w:rPr>
              <w:br w:type="textWrapping"/>
            </w:r>
            <w:r>
              <w:rPr>
                <w:rFonts w:hint="eastAsia" w:ascii="宋体" w:hAnsi="宋体" w:cs="宋体"/>
                <w:color w:val="000000" w:themeColor="text1"/>
                <w:kern w:val="0"/>
              </w:rPr>
              <w:t>19、教师个人中心支持对个人资料、密码等进行修改；教师个人中心支持最近未完成的实验进行展现，可以快速进入上一个尚未完成的实验.</w:t>
            </w:r>
            <w:r>
              <w:rPr>
                <w:rFonts w:hint="eastAsia" w:ascii="宋体" w:hAnsi="宋体" w:cs="宋体"/>
                <w:color w:val="000000" w:themeColor="text1"/>
                <w:kern w:val="0"/>
              </w:rPr>
              <w:br w:type="textWrapping"/>
            </w:r>
            <w:r>
              <w:rPr>
                <w:rFonts w:hint="eastAsia" w:ascii="宋体" w:hAnsi="宋体" w:cs="宋体"/>
                <w:color w:val="000000" w:themeColor="text1"/>
                <w:kern w:val="0"/>
              </w:rPr>
              <w:t>20、班级中心：系统支持教师按照班级对各班级开展的课程进行查看，并对该课程各实验报告、实验环境等进行查看。</w:t>
            </w:r>
            <w:r>
              <w:rPr>
                <w:rFonts w:hint="eastAsia" w:ascii="宋体" w:hAnsi="宋体" w:cs="宋体"/>
                <w:color w:val="000000" w:themeColor="text1"/>
                <w:kern w:val="0"/>
              </w:rPr>
              <w:br w:type="textWrapping"/>
            </w:r>
            <w:r>
              <w:rPr>
                <w:rFonts w:hint="eastAsia" w:ascii="宋体" w:hAnsi="宋体" w:cs="宋体"/>
                <w:color w:val="000000" w:themeColor="text1"/>
                <w:kern w:val="0"/>
              </w:rPr>
              <w:t>21、课程中心：系统支持教师按照课程对该课程开课班级进行查看，并对该课程各实验报告、实验环境等进行查看。</w:t>
            </w:r>
            <w:r>
              <w:rPr>
                <w:rFonts w:hint="eastAsia" w:ascii="宋体" w:hAnsi="宋体" w:cs="宋体"/>
                <w:color w:val="000000" w:themeColor="text1"/>
                <w:kern w:val="0"/>
              </w:rPr>
              <w:br w:type="textWrapping"/>
            </w:r>
            <w:r>
              <w:rPr>
                <w:rFonts w:hint="eastAsia" w:ascii="宋体" w:hAnsi="宋体" w:cs="宋体"/>
                <w:color w:val="000000" w:themeColor="text1"/>
                <w:kern w:val="0"/>
              </w:rPr>
              <w:t>22、课堂管理：系统支持按照班级、实验对课程实验情况进行实验进度查看，可以对具体实验进展，已完成学生、未完成学生进行查看。</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bl>
    <w:p>
      <w:pPr>
        <w:pStyle w:val="7"/>
        <w:spacing w:line="240" w:lineRule="auto"/>
        <w:rPr>
          <w:rFonts w:ascii="宋体" w:hAnsi="宋体" w:cs="宋体"/>
          <w:color w:val="000000" w:themeColor="text1"/>
          <w:sz w:val="28"/>
          <w:szCs w:val="28"/>
        </w:rPr>
      </w:pPr>
      <w:r>
        <w:rPr>
          <w:rFonts w:hint="eastAsia" w:ascii="宋体" w:hAnsi="宋体" w:cs="宋体"/>
          <w:color w:val="000000" w:themeColor="text1"/>
          <w:sz w:val="28"/>
          <w:szCs w:val="28"/>
        </w:rPr>
        <w:t>4.2.4  网络安全态势感知实验室</w:t>
      </w:r>
    </w:p>
    <w:tbl>
      <w:tblPr>
        <w:tblStyle w:val="45"/>
        <w:tblW w:w="10700" w:type="dxa"/>
        <w:jc w:val="center"/>
        <w:tblLayout w:type="fixed"/>
        <w:tblCellMar>
          <w:top w:w="0" w:type="dxa"/>
          <w:left w:w="0" w:type="dxa"/>
          <w:bottom w:w="0" w:type="dxa"/>
          <w:right w:w="0" w:type="dxa"/>
        </w:tblCellMar>
      </w:tblPr>
      <w:tblGrid>
        <w:gridCol w:w="667"/>
        <w:gridCol w:w="1663"/>
        <w:gridCol w:w="7131"/>
        <w:gridCol w:w="573"/>
        <w:gridCol w:w="666"/>
      </w:tblGrid>
      <w:tr>
        <w:tblPrEx>
          <w:tblCellMar>
            <w:top w:w="0" w:type="dxa"/>
            <w:left w:w="0" w:type="dxa"/>
            <w:bottom w:w="0" w:type="dxa"/>
            <w:right w:w="0" w:type="dxa"/>
          </w:tblCellMar>
        </w:tblPrEx>
        <w:trPr>
          <w:trHeight w:val="5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项目名称</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单位</w:t>
            </w:r>
          </w:p>
        </w:tc>
      </w:tr>
      <w:tr>
        <w:tblPrEx>
          <w:tblCellMar>
            <w:top w:w="0" w:type="dxa"/>
            <w:left w:w="0" w:type="dxa"/>
            <w:bottom w:w="0" w:type="dxa"/>
            <w:right w:w="0" w:type="dxa"/>
          </w:tblCellMar>
        </w:tblPrEx>
        <w:trPr>
          <w:trHeight w:val="147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入侵检测模块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kern w:val="0"/>
              </w:rPr>
              <w:t>至少19种web漏洞（ PHP代码执行、扫描器漏洞探测、XSS跨站脚本、PYTHON代码执行、SQL注入攻击等）、常规渗透入侵、内网横向渗透等各类黑客攻击和恶意流量进行实时检测及报警，实时响应准确率99.5%以上，并能够检测出系统中受控的服务器，定位出当前企业受影响的业务模块。</w:t>
            </w:r>
            <w:r>
              <w:rPr>
                <w:rFonts w:hint="eastAsia" w:ascii="宋体" w:hAnsi="宋体" w:cs="宋体"/>
                <w:b/>
                <w:color w:val="000000" w:themeColor="text1"/>
                <w:kern w:val="0"/>
              </w:rPr>
              <w:t>（提供功能截图加盖投标人公章）</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166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事件还原模块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kern w:val="0"/>
              </w:rPr>
              <w:t>面对善于用不同身份和地址进行攻击的黑客，将多条攻击告警分析汇总，做攻击事件还原（支持精细化规则至少65条，例如读取/etc/passwd文件、执行ipconfig命令、执行netstat命令等），这对事后的审计、溯源、取证有极大的帮助，同时基于攻击成功事件的数据下钻能力，可做到威胁狩猎、攻击者画像、APT感知、入侵事件还原、渗透测试监控，达到实时反馈安全问题的目标。</w:t>
            </w:r>
            <w:r>
              <w:rPr>
                <w:rFonts w:hint="eastAsia" w:ascii="宋体" w:hAnsi="宋体" w:cs="宋体"/>
                <w:b/>
                <w:color w:val="000000" w:themeColor="text1"/>
                <w:kern w:val="0"/>
              </w:rPr>
              <w:t>（提供功能截图加盖投标人公章）</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111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行为预判模块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基于对攻击链深入的理解，通过观察成功入侵动作在攻击链的位置信息，能预测该入侵事件的下一步动作，感知当前区域的成功攻击情况，真实刻画该区域的安全态势。提供决策参考，以便及时做出调整和防御动作，早一步扼杀黑客的攻击，避免造成严重的财产损失和进一步的敏感信息泄露。</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167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可视化分析模块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对流量数据监测分析，是通过数据间的关联关系，识别并还原整个攻击过程，通过攻击链理论能够识别当前攻击所处的环节，追踪定位攻击发起的时间、攻击利用的位置、攻击源相关的信息，通过攻击链能够完整的还原整个攻击过程，系统可视化展示事件的信息侦查、攻击入侵、命令控制、横向渗透、数据外泄、痕迹清理整个攻击过程，并统计主流的攻击方式、攻击源、被攻击资产，实时展示告警趋势图，用户可一目了然知道自己网络资产安全现状。</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40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脱敏数据</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以大数据为基础的流量入侵感知平台脱敏数据。</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37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资产测绘模块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多维度描述空间资产，全面自主发现联网资产，可覆盖IPv4 -&gt;端口 -&gt;服务 -&gt;产品组件-&gt;设备身份信息 -&gt;实际物理信息-&gt;设备使用者（公司、企业）-&gt;市区、省份、国家-&gt;全球。</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2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漏洞感知模块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监测数字资产中的脆弱性资产，发现、感知、响应重大漏洞，级联响应，漏洞扫描 -&gt;漏洞检测 -&gt;脆弱性资产-&gt;影响范围 -&gt;漏洞处置。</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59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可视分析模块</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资产可视化分析，帮助决策，地域分析、行业分析，实现资产定位可视化、资产统计可视化、资产报表可视化。</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漏洞插件库</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kern w:val="0"/>
              </w:rPr>
              <w:t>提供目前最新的插件至少254个，准确率99.99%，误报率低于0.01%，能够对内网进行漏洞验证和发现。帮助企业建立健全资产管理合规性流程、监控资产设备使用规范、发现内部的违规性行为。</w:t>
            </w:r>
            <w:r>
              <w:rPr>
                <w:rFonts w:hint="eastAsia" w:ascii="宋体" w:hAnsi="宋体" w:cs="宋体"/>
                <w:b/>
                <w:color w:val="000000" w:themeColor="text1"/>
                <w:kern w:val="0"/>
              </w:rPr>
              <w:t>（提供功能截图加盖投标人公章）</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r>
        <w:tblPrEx>
          <w:tblCellMar>
            <w:top w:w="0" w:type="dxa"/>
            <w:left w:w="0" w:type="dxa"/>
            <w:bottom w:w="0" w:type="dxa"/>
            <w:right w:w="0" w:type="dxa"/>
          </w:tblCellMar>
        </w:tblPrEx>
        <w:trPr>
          <w:trHeight w:val="5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资产探测平台脱敏数据</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以大数据为基础的资产探测平台脱敏数据。</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r>
    </w:tbl>
    <w:p>
      <w:pPr>
        <w:rPr>
          <w:rFonts w:ascii="宋体" w:hAnsi="宋体" w:cs="宋体"/>
          <w:color w:val="000000" w:themeColor="text1"/>
        </w:rPr>
      </w:pPr>
    </w:p>
    <w:p>
      <w:pPr>
        <w:pStyle w:val="7"/>
        <w:spacing w:line="240" w:lineRule="auto"/>
        <w:rPr>
          <w:rFonts w:ascii="宋体" w:hAnsi="宋体" w:cs="宋体"/>
          <w:color w:val="000000" w:themeColor="text1"/>
          <w:sz w:val="28"/>
          <w:szCs w:val="28"/>
        </w:rPr>
      </w:pPr>
      <w:bookmarkStart w:id="181" w:name="_Toc10394"/>
      <w:r>
        <w:rPr>
          <w:rFonts w:hint="eastAsia" w:ascii="宋体" w:hAnsi="宋体" w:cs="宋体"/>
          <w:color w:val="000000" w:themeColor="text1"/>
          <w:sz w:val="28"/>
          <w:szCs w:val="28"/>
        </w:rPr>
        <w:t>4.2.5 网络安全综合教学实验实训课程资源</w:t>
      </w:r>
      <w:bookmarkEnd w:id="181"/>
    </w:p>
    <w:tbl>
      <w:tblPr>
        <w:tblStyle w:val="45"/>
        <w:tblW w:w="10696" w:type="dxa"/>
        <w:jc w:val="center"/>
        <w:tblLayout w:type="fixed"/>
        <w:tblCellMar>
          <w:top w:w="0" w:type="dxa"/>
          <w:left w:w="0" w:type="dxa"/>
          <w:bottom w:w="0" w:type="dxa"/>
          <w:right w:w="0" w:type="dxa"/>
        </w:tblCellMar>
      </w:tblPr>
      <w:tblGrid>
        <w:gridCol w:w="662"/>
        <w:gridCol w:w="1666"/>
        <w:gridCol w:w="7125"/>
        <w:gridCol w:w="1243"/>
      </w:tblGrid>
      <w:tr>
        <w:tblPrEx>
          <w:tblCellMar>
            <w:top w:w="0" w:type="dxa"/>
            <w:left w:w="0" w:type="dxa"/>
            <w:bottom w:w="0" w:type="dxa"/>
            <w:right w:w="0" w:type="dxa"/>
          </w:tblCellMar>
        </w:tblPrEx>
        <w:trPr>
          <w:trHeight w:val="214"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课程名称</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内容要求</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课时要求</w:t>
            </w:r>
          </w:p>
        </w:tc>
      </w:tr>
      <w:tr>
        <w:tblPrEx>
          <w:tblCellMar>
            <w:top w:w="0" w:type="dxa"/>
            <w:left w:w="0" w:type="dxa"/>
            <w:bottom w:w="0" w:type="dxa"/>
            <w:right w:w="0" w:type="dxa"/>
          </w:tblCellMar>
        </w:tblPrEx>
        <w:trPr>
          <w:trHeight w:val="180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《网络安全导论》课程资源包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网络安全导论》课程资源包内容包括：信息安全要素、安全问题剖析、重大网络安全事件分析、典型网络攻击手段分析、企业安全风险分析、典型信息安全诈骗手段剖析、网络安全意识培养、典型网络对抗工具思路与方法以及CTF比赛入门等内容。通过学习，初步认识网络信息安全，了解信息安全带来的危害、了解网络对抗的典型工具思路和方法，并了解CTF比赛的相关知识。包含配套实验实践内容，通过对密码破解、漏洞利用以及网络监听等实验，深刻理解网络安全的重要性。</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不少于48课时</w:t>
            </w:r>
          </w:p>
        </w:tc>
      </w:tr>
      <w:tr>
        <w:tblPrEx>
          <w:tblCellMar>
            <w:top w:w="0" w:type="dxa"/>
            <w:left w:w="0" w:type="dxa"/>
            <w:bottom w:w="0" w:type="dxa"/>
            <w:right w:w="0" w:type="dxa"/>
          </w:tblCellMar>
        </w:tblPrEx>
        <w:trPr>
          <w:trHeight w:val="1959"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《信息安全技术》课程资源包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信息安全技术》课程资源包内容包括：常见密码学基础知识、典型网络攻击技术、常见安全防护系统、防病毒技术、软件保护技术、数据备份恢复技术以及等。通过本课程的学习，初步了解密码学的概念框架，掌握基本的网络攻击技术、了解常用的网络安全防护系统，建立起基本的网络安全技术知识体系。包含配套实验实践内容，信息安全技术实践环节：凯撒密码算法开发与验证、DES加密算法开发验证、SHA算法开发验证、MD5算法开发验证以及数据加密工具使用，密码学课程支持可视化密码学算法设计，要求系统内置标准的算法设计标识，可实现拖拽的形式进行算法设计，支持积木式密码算法拆解互动教学模式，要求可以将算法拆解进行设计和教学，并支持将拆解的算法进行积木式搭建；</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不少于48课时</w:t>
            </w:r>
          </w:p>
        </w:tc>
      </w:tr>
      <w:tr>
        <w:tblPrEx>
          <w:tblCellMar>
            <w:top w:w="0" w:type="dxa"/>
            <w:left w:w="0" w:type="dxa"/>
            <w:bottom w:w="0" w:type="dxa"/>
            <w:right w:w="0" w:type="dxa"/>
          </w:tblCellMar>
        </w:tblPrEx>
        <w:trPr>
          <w:trHeight w:val="63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《操作系统安全》课程资源包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操作系统安全》课程资源包内容包括：网络安全方向的学科基础课。主要内容包括操作系统的安全机制、安全操作系统模型、密码安全策略、安全审计策略、用户账户管理策略、访问权限管理、补丁管理、防火墙策略管理、服务进程管理等以及对操作系统的典型攻击分析。通过本课程学习，深入了解操作系统面临的各种安全威胁，熟悉操作系统加固的典型方法和工具。包含配套实验实践内容，典型操作系统Windows、Linux等系统账户安全配置、操作系统访问权限管理、操作系统安全审计管理、操作系统访问控制管理、数据加密、操作系统安全加固及备份恢复。</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不少于48课时</w:t>
            </w:r>
          </w:p>
        </w:tc>
      </w:tr>
      <w:tr>
        <w:tblPrEx>
          <w:tblCellMar>
            <w:top w:w="0" w:type="dxa"/>
            <w:left w:w="0" w:type="dxa"/>
            <w:bottom w:w="0" w:type="dxa"/>
            <w:right w:w="0" w:type="dxa"/>
          </w:tblCellMar>
        </w:tblPrEx>
        <w:trPr>
          <w:trHeight w:val="1504"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《网络协议安全》课程资源包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网络协议安全》课程资源包内容包括：网络安全方向的专业基础课。主要内容包括以太网技术、ARP协议、RARP协议、IP协议、ICMP协议、IGMP协议、TCP协议、UDP协议以及应用层协议等网络报文格式及工作原理、安全特性分析及IPv6协议等内容。包含配套实验实践内容，利用wireshark捕获并分析IP报文、ARP缓存查看、TCP连接建立过程分析、UDP报文分析、HTTP报文分析。</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不少于64课时</w:t>
            </w:r>
          </w:p>
        </w:tc>
      </w:tr>
      <w:tr>
        <w:tblPrEx>
          <w:tblCellMar>
            <w:top w:w="0" w:type="dxa"/>
            <w:left w:w="0" w:type="dxa"/>
            <w:bottom w:w="0" w:type="dxa"/>
            <w:right w:w="0" w:type="dxa"/>
          </w:tblCellMar>
        </w:tblPrEx>
        <w:trPr>
          <w:trHeight w:val="174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《网络攻防原理与实践》课程资源包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网络攻防原理与实践》课程资源包内容包括：信息搜集技术、网络扫描技术、网络监听技术、口令破解技术、典型木马攻防技术、网络跳板技术、缓冲区溢出攻击技术、网络攻击痕迹清除技术以及典型网络攻击的安全防护方法等。通过本课程学习，深入了解网络攻击的基本过程及工具方法，从攻击的角度，深入理解防护策略。包含配套实验实践内容，Nmap网络扫描、wireshark网络监听、windows登录密码破解、木马的配置与远程控制、获取网站webshell。</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不少于64课时</w:t>
            </w:r>
          </w:p>
        </w:tc>
      </w:tr>
      <w:tr>
        <w:tblPrEx>
          <w:tblCellMar>
            <w:top w:w="0" w:type="dxa"/>
            <w:left w:w="0" w:type="dxa"/>
            <w:bottom w:w="0" w:type="dxa"/>
            <w:right w:w="0" w:type="dxa"/>
          </w:tblCellMar>
        </w:tblPrEx>
        <w:trPr>
          <w:trHeight w:val="1959"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《Web安全原理与实践》课程资源包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Web安全原理与实践》课程资源包内容包括：SQL注入攻击、XSS攻击、CSRF攻击、文件解析与上传工具、文件包含攻击、WEB远程命令执行漏洞原理与利用、逻辑漏洞原理及利用、敏感信息泄露漏洞原理与利用、WAF防火墙技术以及WEB框架漏洞分析等。通过本课程的学习，深入理解WEB安全面临的各种威胁，并掌握WEB渗透攻击的常用工具方法以及防护技术。包含配套实验实践内容，网站SQL注入攻击实验、网站文件上传实验、远程命令执行漏洞分析、WEB框架漏洞分析等。</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不少于64课时</w:t>
            </w:r>
          </w:p>
        </w:tc>
      </w:tr>
      <w:tr>
        <w:tblPrEx>
          <w:tblCellMar>
            <w:top w:w="0" w:type="dxa"/>
            <w:left w:w="0" w:type="dxa"/>
            <w:bottom w:w="0" w:type="dxa"/>
            <w:right w:w="0" w:type="dxa"/>
          </w:tblCellMar>
        </w:tblPrEx>
        <w:trPr>
          <w:trHeight w:val="171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《网络渗透测试实践》课程资源包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网络渗透测试实践》课程资源包内容包括：网络渗透环境构建、渗透工具利用、信息搜集技术、主要阶段的网络渗透原理与实践以及网络渗透的防护策略。通过本课程学习，深入了解网络渗透的基本过程及工具方法，从攻击的角度，深入理解防护策略。包含配套实验实践内容，Google Hacking搜集信息、Nmap扫描目标、OS指纹识别、密码破解、漏洞利用及提权、内网渗透与横向移动。</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不少于64课时</w:t>
            </w:r>
          </w:p>
        </w:tc>
      </w:tr>
      <w:tr>
        <w:tblPrEx>
          <w:tblCellMar>
            <w:top w:w="0" w:type="dxa"/>
            <w:left w:w="0" w:type="dxa"/>
            <w:bottom w:w="0" w:type="dxa"/>
            <w:right w:w="0" w:type="dxa"/>
          </w:tblCellMar>
        </w:tblPrEx>
        <w:trPr>
          <w:trHeight w:val="174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《网络安全等级保护》课程资源包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网络安全等级保护》课程资源包内容包括：网络安全等级保护相关的法律法规及标准、网络安全等级保护工作主要内容、网络安全等级保护基本要求、设计技术要求和测评要求（安全通用要求及扩展要求）主要内容解读、网络系统等级保护测评实践（包括定级、备案、建设整改和监督检查）、网络系统安全加固及安全运维、</w:t>
            </w:r>
            <w:r>
              <w:rPr>
                <w:rFonts w:hint="eastAsia" w:asciiTheme="minorEastAsia" w:hAnsiTheme="minorEastAsia" w:eastAsiaTheme="minorEastAsia" w:cstheme="minorBidi"/>
                <w:color w:val="000000" w:themeColor="text1"/>
                <w:kern w:val="0"/>
                <w:sz w:val="22"/>
                <w:szCs w:val="22"/>
              </w:rPr>
              <w:t>可信密码模块（TCM）原理、可信密钥的生成和应用、可信报告、可信计算历史、可信计算研究的意义、可信计算基本过程、可信和可信计算的基础概念、密码学对可信计算的支撑作用、可信计算部件、标准及体系、访问控制与可信计算、白名单机制、白名单的可信度量与报告、可信度量与报告的管理、可信密码应用、可信机制与安全机制集成、可信连接机制、现代信息系统可信应用、云可信（选修）、可信密码支撑功能、可信网络环境综合练习。</w:t>
            </w:r>
          </w:p>
          <w:p>
            <w:pPr>
              <w:widowControl/>
              <w:jc w:val="left"/>
              <w:textAlignment w:val="center"/>
              <w:rPr>
                <w:color w:val="000000" w:themeColor="text1"/>
              </w:rPr>
            </w:pPr>
            <w:r>
              <w:rPr>
                <w:rFonts w:hint="eastAsia" w:ascii="宋体" w:hAnsi="宋体" w:cs="宋体"/>
                <w:color w:val="000000" w:themeColor="text1"/>
                <w:kern w:val="0"/>
              </w:rPr>
              <w:t>包含配套实验实践内容，结合等级保护相关要求，对网络信息系统进行模拟定级、备案、安全设计并进行测评。</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不少于48课时</w:t>
            </w:r>
          </w:p>
        </w:tc>
      </w:tr>
      <w:tr>
        <w:tblPrEx>
          <w:tblCellMar>
            <w:top w:w="0" w:type="dxa"/>
            <w:left w:w="0" w:type="dxa"/>
            <w:bottom w:w="0" w:type="dxa"/>
            <w:right w:w="0" w:type="dxa"/>
          </w:tblCellMar>
        </w:tblPrEx>
        <w:trPr>
          <w:trHeight w:val="174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《代码审计与实践》课程资源包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代码审计与实践》课程资源包内容包括：代码审计原理与方法、代码审计工具使用、web代码审计原理与实践、php代码审计原理与实践等。通过本课程的学习能够了解代码审计的基本概念、原理与方法，能够使用常见的代码审计工具对web漏洞进行代码审计，并且能够针对性的进行代码安全加固。包含配套实验实践内容，对windows下的PE文件进行反编译、PE文件脱壳、静态分析反编译代码、动态跟踪调试代码执行过程、栈溢出跟踪分析。</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不少于64课时</w:t>
            </w:r>
          </w:p>
        </w:tc>
      </w:tr>
      <w:tr>
        <w:tblPrEx>
          <w:tblCellMar>
            <w:top w:w="0" w:type="dxa"/>
            <w:left w:w="0" w:type="dxa"/>
            <w:bottom w:w="0" w:type="dxa"/>
            <w:right w:w="0" w:type="dxa"/>
          </w:tblCellMar>
        </w:tblPrEx>
        <w:trPr>
          <w:trHeight w:val="419"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《信息安全管理》课程资源包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信息安全管理》课程资源包内容包括：网络安全等级确定、网络安全风险分析、等级保护目标与措施、网络安全人员管理、网络安全策略管理、机构人员管理、安全运维管理与法律法规。包含配套实验实践内容，结合等级保护基本要求及测评要求，对网络信息系统进行安全设计、部署相关安全措施、对安全策略进行管理、制定相关的管理制度。</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不少于48课时</w:t>
            </w:r>
          </w:p>
        </w:tc>
      </w:tr>
      <w:tr>
        <w:tblPrEx>
          <w:tblCellMar>
            <w:top w:w="0" w:type="dxa"/>
            <w:left w:w="0" w:type="dxa"/>
            <w:bottom w:w="0" w:type="dxa"/>
            <w:right w:w="0" w:type="dxa"/>
          </w:tblCellMar>
        </w:tblPrEx>
        <w:trPr>
          <w:trHeight w:val="587"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《企业安全体系与实践》课程资源包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企业安全体系与实践》课程资源包内容包括：业务网纵深防御体系建设、业务网安全加固、企业威胁情报、态势感知系统建设、办公网数据防泄露、办公网准入系统和安全加固、蜜罐与攻击欺骗以及主流的网络安全产品如防火墙、IDS、IPS、VPN等产品使用教学资料。</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不少于64课时</w:t>
            </w:r>
          </w:p>
        </w:tc>
      </w:tr>
      <w:tr>
        <w:tblPrEx>
          <w:tblCellMar>
            <w:top w:w="0" w:type="dxa"/>
            <w:left w:w="0" w:type="dxa"/>
            <w:bottom w:w="0" w:type="dxa"/>
            <w:right w:w="0" w:type="dxa"/>
          </w:tblCellMar>
        </w:tblPrEx>
        <w:trPr>
          <w:trHeight w:val="361" w:hRule="atLeast"/>
          <w:jc w:val="center"/>
        </w:trPr>
        <w:tc>
          <w:tcPr>
            <w:tcW w:w="106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themeColor="text1"/>
                <w:kern w:val="0"/>
              </w:rPr>
            </w:pPr>
            <w:r>
              <w:rPr>
                <w:rFonts w:hint="eastAsia" w:ascii="宋体" w:hAnsi="宋体" w:cs="宋体"/>
                <w:b/>
                <w:color w:val="000000" w:themeColor="text1"/>
              </w:rPr>
              <w:t>备注：网络安全综合教学实验实训课程资源包含但不限于以上内容。资源内容包括：</w:t>
            </w:r>
            <w:r>
              <w:rPr>
                <w:rFonts w:hint="eastAsia" w:ascii="宋体" w:hAnsi="宋体" w:cs="宋体"/>
                <w:b/>
                <w:color w:val="000000" w:themeColor="text1"/>
                <w:kern w:val="0"/>
              </w:rPr>
              <w:t>课程大纲、讲义、教学ppt、实验指导书、试题库、实训实验的教学及实操资源等。</w:t>
            </w:r>
          </w:p>
        </w:tc>
      </w:tr>
    </w:tbl>
    <w:p>
      <w:pPr>
        <w:pStyle w:val="7"/>
        <w:spacing w:line="240" w:lineRule="auto"/>
        <w:rPr>
          <w:rFonts w:ascii="宋体" w:hAnsi="宋体" w:cs="宋体"/>
          <w:color w:val="000000" w:themeColor="text1"/>
          <w:sz w:val="28"/>
          <w:szCs w:val="28"/>
        </w:rPr>
      </w:pPr>
      <w:bookmarkStart w:id="182" w:name="_Toc4356"/>
      <w:r>
        <w:rPr>
          <w:rFonts w:hint="eastAsia" w:ascii="宋体" w:hAnsi="宋体" w:cs="宋体"/>
          <w:color w:val="000000" w:themeColor="text1"/>
          <w:sz w:val="28"/>
          <w:szCs w:val="28"/>
        </w:rPr>
        <w:t>4.2.6  云计算教学实验实训课程资源</w:t>
      </w:r>
      <w:bookmarkEnd w:id="182"/>
    </w:p>
    <w:tbl>
      <w:tblPr>
        <w:tblStyle w:val="45"/>
        <w:tblW w:w="10109" w:type="dxa"/>
        <w:jc w:val="center"/>
        <w:tblLayout w:type="fixed"/>
        <w:tblCellMar>
          <w:top w:w="0" w:type="dxa"/>
          <w:left w:w="0" w:type="dxa"/>
          <w:bottom w:w="0" w:type="dxa"/>
          <w:right w:w="0" w:type="dxa"/>
        </w:tblCellMar>
      </w:tblPr>
      <w:tblGrid>
        <w:gridCol w:w="568"/>
        <w:gridCol w:w="1417"/>
        <w:gridCol w:w="7125"/>
        <w:gridCol w:w="999"/>
      </w:tblGrid>
      <w:tr>
        <w:tblPrEx>
          <w:tblCellMar>
            <w:top w:w="0" w:type="dxa"/>
            <w:left w:w="0" w:type="dxa"/>
            <w:bottom w:w="0" w:type="dxa"/>
            <w:right w:w="0" w:type="dxa"/>
          </w:tblCellMar>
        </w:tblPrEx>
        <w:trPr>
          <w:trHeight w:val="358" w:hRule="atLeast"/>
          <w:tblHeader/>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课程名称</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内容要求</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课时要求</w:t>
            </w:r>
          </w:p>
        </w:tc>
      </w:tr>
      <w:tr>
        <w:tblPrEx>
          <w:tblCellMar>
            <w:top w:w="0" w:type="dxa"/>
            <w:left w:w="0" w:type="dxa"/>
            <w:bottom w:w="0" w:type="dxa"/>
            <w:right w:w="0" w:type="dxa"/>
          </w:tblCellMar>
        </w:tblPrEx>
        <w:trPr>
          <w:trHeight w:val="5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《云计算导论》课程资源包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课程内容涵盖云计算的基本概念、云服务、云计算数据处理技术、虚拟化技术、云计算管理平台相关技术及云计算典型应用案例等知识的介绍和讲解，课程资源包含教学大纲，章节内容及对应知识点，包含配套PPT、实验指导书等内容；该课程包含教学大纲，章节内容及对应知识点，必须提供 PPT、实验指导书、源码。</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不少于48总学时</w:t>
            </w:r>
          </w:p>
        </w:tc>
      </w:tr>
      <w:tr>
        <w:tblPrEx>
          <w:tblCellMar>
            <w:top w:w="0" w:type="dxa"/>
            <w:left w:w="0" w:type="dxa"/>
            <w:bottom w:w="0" w:type="dxa"/>
            <w:right w:w="0" w:type="dxa"/>
          </w:tblCellMar>
        </w:tblPrEx>
        <w:trPr>
          <w:trHeight w:val="41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《KVM虚拟化技术基础与实践》课程资源包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课程内容涵盖虚拟化概述、虚拟化实现技术架构、构建 KVM 环境、QEMU 核心模块配置、KVM 高级功能详解、虚拟化管理工具介绍与讲解；课程资源包含教学大纲，章节内容及对应知识点，包含配套PPT、实验指导书等内容；具体实验内容包含且不限于： Ubuntu 系统环境准备、KVMQEMU 的虚拟化环境的搭建、制作虚拟机镜像、启动运行第一个虚拟机、虚拟机迁移等内容；该课程包含教学大纲，章节内容及对应知识点，必须提供 PPT、实验指导书、源码。</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不少于48总学时</w:t>
            </w:r>
          </w:p>
        </w:tc>
      </w:tr>
      <w:tr>
        <w:tblPrEx>
          <w:tblCellMar>
            <w:top w:w="0" w:type="dxa"/>
            <w:left w:w="0" w:type="dxa"/>
            <w:bottom w:w="0" w:type="dxa"/>
            <w:right w:w="0" w:type="dxa"/>
          </w:tblCellMar>
        </w:tblPrEx>
        <w:trPr>
          <w:trHeight w:val="542"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《云平台技术应用与开发》课程资源包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课程内容涵盖云平台、云平台架构、云平台管理、开源平台openstack虚拟化管理工具libvirt、虚拟化管理工具virsh、云管理平台综合应用；课程资源包含教学大纲，章节内容及对应知识点，包含配套PPT、实验指导书等内容；具体实验内容包含且不限于：系统安装与网络基础配置、Keystone 安装与配置、nova 的安装与配置、glance 安装与配置、镜像的创建与管理、cinder 的安装与配置、Quantum 安装与配置、Horizon 的安装与Openstack的使用、Libvirt工具的安装与使用、virt-manage 应用实践、基于opnstack云平台的系统设计；该课程包含教学大纲，章节内容及对应知识点，必须提供 PPT、实验指导书、源码。</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不少于48总学时</w:t>
            </w:r>
          </w:p>
        </w:tc>
      </w:tr>
      <w:tr>
        <w:tblPrEx>
          <w:tblCellMar>
            <w:top w:w="0" w:type="dxa"/>
            <w:left w:w="0" w:type="dxa"/>
            <w:bottom w:w="0" w:type="dxa"/>
            <w:right w:w="0" w:type="dxa"/>
          </w:tblCellMar>
        </w:tblPrEx>
        <w:trPr>
          <w:trHeight w:val="25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《云计算综合实训》课程资源包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提供云计算综合实训,实训内容主要包含KVM/Qemu虚拟环境搭建、虚拟机迁移、虚拟化管理工具安装及使用、Openstack平台的配置与安装、虚拟化管理工具的安装与使用、虚拟化应用实践、虚拟化管理工具的安装与使用、虚拟化应用实践、基于openstack云平台的系统设计、基于 KVM 的虚拟化服务器及虚拟化云桌面系统设计等。</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不少于48总学时</w:t>
            </w:r>
          </w:p>
        </w:tc>
      </w:tr>
      <w:tr>
        <w:tblPrEx>
          <w:tblCellMar>
            <w:top w:w="0" w:type="dxa"/>
            <w:left w:w="0" w:type="dxa"/>
            <w:bottom w:w="0" w:type="dxa"/>
            <w:right w:w="0" w:type="dxa"/>
          </w:tblCellMar>
        </w:tblPrEx>
        <w:trPr>
          <w:trHeight w:val="110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《云计算与云安全》课程资源包</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云计算与云安全课程资源包含云计算与云安全课程大纲、讲义、教学ppt、实验指导书、试题库、实训实验的教学及实操资源；介绍云安全管理系统的基本知识、结构、配置方法及云安全管理系统的技术理念。云计算与云安全课程资源至少覆盖以下内容：</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云平台工单管理、云平台权限管理、云平台报表管理、云平台健康管理、云平台用户中心配置、云平台日志消息管理、云平台资源协作管理、云平台网络管理、云平台路由器基本操作、云平台公网IP管理、云平台安全组管理、云平台服务编排管理、云平台虚拟机创建/删除与恢复、云平台虚拟机基础配置升级、云平台虚拟机资源分配、云安全管理平台基本使用管理、云安全管理平台用户管理、云安全管理平台订单服务、云安全管理平台日志管理、云安全管理平台日志记录与审计、虚拟化安全管理系统Linux客户端安装及卸载、虚拟化安全管理系统Windows客户端安装及卸载、虚拟化安全管理系统账号管理、虚拟化安全管理系统基础设置、虚拟化安全管理系统升级管理、虚拟化安全管理系统主机病毒查杀、虚拟化安全管理系统主机Webshell扫描、虚拟化安全管理系统主机安全基线、虚拟化安全管理系统主机的防暴力破解、虚拟化安全管理系统的防火墙策略、虚拟化安全管理系统入侵防护操作、虚拟化安全管理系统黑白名单的添加、虚拟化安全管理系统分组策略管理、虚拟化安全管理系统主机日志分析、虚拟化安全管理系统日志与报表管理、虚拟化安全管理系统主机定时查杀策略配置、虚拟化安全管理系统数据备份与恢复。</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color w:val="000000" w:themeColor="text1"/>
                <w:kern w:val="0"/>
              </w:rPr>
            </w:pPr>
            <w:r>
              <w:rPr>
                <w:rFonts w:hint="eastAsia" w:ascii="宋体" w:hAnsi="宋体" w:cs="宋体"/>
                <w:color w:val="000000" w:themeColor="text1"/>
                <w:kern w:val="0"/>
              </w:rPr>
              <w:t>不少于48总学时</w:t>
            </w:r>
          </w:p>
        </w:tc>
      </w:tr>
      <w:tr>
        <w:tblPrEx>
          <w:tblCellMar>
            <w:top w:w="0" w:type="dxa"/>
            <w:left w:w="0" w:type="dxa"/>
            <w:bottom w:w="0" w:type="dxa"/>
            <w:right w:w="0" w:type="dxa"/>
          </w:tblCellMar>
        </w:tblPrEx>
        <w:trPr>
          <w:trHeight w:val="354" w:hRule="atLeast"/>
          <w:jc w:val="center"/>
        </w:trPr>
        <w:tc>
          <w:tcPr>
            <w:tcW w:w="1010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b/>
                <w:color w:val="000000" w:themeColor="text1"/>
                <w:kern w:val="0"/>
              </w:rPr>
            </w:pPr>
            <w:r>
              <w:rPr>
                <w:rFonts w:hint="eastAsia" w:ascii="宋体" w:hAnsi="宋体" w:cs="宋体"/>
                <w:b/>
                <w:color w:val="000000" w:themeColor="text1"/>
              </w:rPr>
              <w:t>备注：云计算教学实验实训课程资源包含但不限于以上内容。资源内容包括：</w:t>
            </w:r>
            <w:r>
              <w:rPr>
                <w:rFonts w:hint="eastAsia" w:ascii="宋体" w:hAnsi="宋体" w:cs="宋体"/>
                <w:b/>
                <w:color w:val="000000" w:themeColor="text1"/>
                <w:kern w:val="0"/>
              </w:rPr>
              <w:t>课程大纲、讲义、教学ppt、实验指导书、试题库、实训实验的教学及实操资源等。</w:t>
            </w:r>
          </w:p>
        </w:tc>
      </w:tr>
    </w:tbl>
    <w:p>
      <w:pPr>
        <w:pStyle w:val="7"/>
        <w:spacing w:line="240" w:lineRule="auto"/>
        <w:rPr>
          <w:rFonts w:ascii="宋体" w:hAnsi="宋体" w:cs="宋体"/>
          <w:color w:val="000000" w:themeColor="text1"/>
          <w:sz w:val="28"/>
          <w:szCs w:val="28"/>
        </w:rPr>
      </w:pPr>
      <w:bookmarkStart w:id="183" w:name="_Toc13748852"/>
      <w:bookmarkStart w:id="184" w:name="_Toc8536"/>
      <w:bookmarkStart w:id="185" w:name="_Toc13579324"/>
      <w:bookmarkStart w:id="186" w:name="_Toc21184_WPSOffice_Level2"/>
      <w:r>
        <w:rPr>
          <w:rFonts w:hint="eastAsia" w:ascii="宋体" w:hAnsi="宋体" w:cs="宋体"/>
          <w:color w:val="000000" w:themeColor="text1"/>
          <w:sz w:val="28"/>
          <w:szCs w:val="28"/>
        </w:rPr>
        <w:t>4.2.7配套服务</w:t>
      </w:r>
      <w:bookmarkEnd w:id="183"/>
      <w:bookmarkEnd w:id="184"/>
      <w:bookmarkEnd w:id="185"/>
      <w:bookmarkEnd w:id="186"/>
    </w:p>
    <w:tbl>
      <w:tblPr>
        <w:tblStyle w:val="45"/>
        <w:tblW w:w="10131" w:type="dxa"/>
        <w:jc w:val="center"/>
        <w:tblLayout w:type="fixed"/>
        <w:tblCellMar>
          <w:top w:w="0" w:type="dxa"/>
          <w:left w:w="0" w:type="dxa"/>
          <w:bottom w:w="0" w:type="dxa"/>
          <w:right w:w="0" w:type="dxa"/>
        </w:tblCellMar>
      </w:tblPr>
      <w:tblGrid>
        <w:gridCol w:w="708"/>
        <w:gridCol w:w="1276"/>
        <w:gridCol w:w="8147"/>
      </w:tblGrid>
      <w:tr>
        <w:tblPrEx>
          <w:tblCellMar>
            <w:top w:w="0" w:type="dxa"/>
            <w:left w:w="0" w:type="dxa"/>
            <w:bottom w:w="0" w:type="dxa"/>
            <w:right w:w="0" w:type="dxa"/>
          </w:tblCellMar>
        </w:tblPrEx>
        <w:trPr>
          <w:trHeight w:val="306"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项目名称</w:t>
            </w:r>
          </w:p>
        </w:tc>
        <w:tc>
          <w:tcPr>
            <w:tcW w:w="8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rPr>
            </w:pPr>
            <w:r>
              <w:rPr>
                <w:rFonts w:hint="eastAsia" w:ascii="宋体" w:hAnsi="宋体" w:cs="宋体"/>
                <w:b/>
                <w:color w:val="000000" w:themeColor="text1"/>
                <w:kern w:val="0"/>
              </w:rPr>
              <w:t>招标要求的技术指标</w:t>
            </w:r>
          </w:p>
        </w:tc>
      </w:tr>
      <w:tr>
        <w:tblPrEx>
          <w:tblCellMar>
            <w:top w:w="0" w:type="dxa"/>
            <w:left w:w="0" w:type="dxa"/>
            <w:bottom w:w="0" w:type="dxa"/>
            <w:right w:w="0" w:type="dxa"/>
          </w:tblCellMar>
        </w:tblPrEx>
        <w:trPr>
          <w:trHeight w:val="30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rPr>
            </w:pPr>
            <w:r>
              <w:rPr>
                <w:rFonts w:hint="eastAsia" w:ascii="宋体" w:hAnsi="宋体" w:cs="宋体"/>
                <w:color w:val="000000" w:themeColor="text1"/>
                <w:kern w:val="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rPr>
            </w:pPr>
            <w:r>
              <w:rPr>
                <w:rFonts w:hint="eastAsia" w:ascii="宋体" w:hAnsi="宋体" w:cs="宋体"/>
                <w:color w:val="000000" w:themeColor="text1"/>
                <w:kern w:val="0"/>
              </w:rPr>
              <w:t>方案</w:t>
            </w:r>
          </w:p>
        </w:tc>
        <w:tc>
          <w:tcPr>
            <w:tcW w:w="8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themeColor="text1"/>
                <w:kern w:val="0"/>
              </w:rPr>
            </w:pPr>
            <w:r>
              <w:rPr>
                <w:rFonts w:hint="eastAsia" w:ascii="宋体" w:hAnsi="宋体" w:cs="宋体"/>
                <w:color w:val="000000" w:themeColor="text1"/>
                <w:kern w:val="0"/>
              </w:rPr>
              <w:t>投标人根据对项目的整体理解和把握，结合学校的实际情况，提供学校网络安全学院建设整体方案。包括：目标、中长期规划、进度安排、组织架构、人员配备、工具配备、项目管理计划等。以及针对下列服务项目提出高于招标要求的服务方案。</w:t>
            </w:r>
          </w:p>
        </w:tc>
      </w:tr>
      <w:tr>
        <w:tblPrEx>
          <w:tblCellMar>
            <w:top w:w="0" w:type="dxa"/>
            <w:left w:w="0" w:type="dxa"/>
            <w:bottom w:w="0" w:type="dxa"/>
            <w:right w:w="0" w:type="dxa"/>
          </w:tblCellMar>
        </w:tblPrEx>
        <w:trPr>
          <w:trHeight w:val="30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品牌使用授权</w:t>
            </w:r>
          </w:p>
        </w:tc>
        <w:tc>
          <w:tcPr>
            <w:tcW w:w="8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cs="宋体"/>
                <w:color w:val="000000" w:themeColor="text1"/>
                <w:kern w:val="0"/>
              </w:rPr>
            </w:pPr>
            <w:r>
              <w:rPr>
                <w:rFonts w:hint="eastAsia" w:cs="宋体"/>
                <w:color w:val="000000" w:themeColor="text1"/>
                <w:kern w:val="0"/>
              </w:rPr>
              <w:t>★投标人以书面方式进行品牌授权，能够与校方共建新一代产教融合形式的产业学院，授予校方挂牌具有品牌标识的校企合作产业学院，具体名称由校方与中标企业协商确定，期限不少于5年。</w:t>
            </w:r>
          </w:p>
          <w:p>
            <w:pPr>
              <w:widowControl/>
              <w:jc w:val="left"/>
              <w:textAlignment w:val="center"/>
              <w:rPr>
                <w:rFonts w:ascii="宋体" w:hAnsi="宋体" w:cs="宋体"/>
                <w:b/>
                <w:color w:val="000000" w:themeColor="text1"/>
                <w:kern w:val="0"/>
              </w:rPr>
            </w:pPr>
            <w:r>
              <w:rPr>
                <w:rFonts w:hint="eastAsia" w:cs="宋体"/>
                <w:b/>
                <w:color w:val="000000" w:themeColor="text1"/>
                <w:kern w:val="0"/>
              </w:rPr>
              <w:t>(投标人需提供品牌所属持有人证明材料。在投标文件品牌使用承诺书中进行承诺，并盖品牌持有人公章)</w:t>
            </w:r>
          </w:p>
        </w:tc>
      </w:tr>
      <w:tr>
        <w:tblPrEx>
          <w:tblCellMar>
            <w:top w:w="0" w:type="dxa"/>
            <w:left w:w="0" w:type="dxa"/>
            <w:bottom w:w="0" w:type="dxa"/>
            <w:right w:w="0" w:type="dxa"/>
          </w:tblCellMar>
        </w:tblPrEx>
        <w:trPr>
          <w:trHeight w:val="30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升级、维护</w:t>
            </w:r>
          </w:p>
        </w:tc>
        <w:tc>
          <w:tcPr>
            <w:tcW w:w="8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rPr>
              <w:t>▲</w:t>
            </w:r>
            <w:r>
              <w:rPr>
                <w:rFonts w:hint="eastAsia" w:ascii="宋体" w:hAnsi="宋体" w:cs="宋体"/>
                <w:color w:val="000000" w:themeColor="text1"/>
                <w:kern w:val="0"/>
              </w:rPr>
              <w:t>1.投标人针对本项目所采购的实验实训平台提供不少于3年的免费升级服务，3年后年升级费用应不高于中标相应项价格的5%。</w:t>
            </w:r>
            <w:r>
              <w:rPr>
                <w:rFonts w:hint="eastAsia" w:ascii="宋体" w:hAnsi="宋体" w:cs="宋体"/>
                <w:b/>
                <w:color w:val="000000" w:themeColor="text1"/>
                <w:kern w:val="0"/>
              </w:rPr>
              <w:t>（须在投标文件服务承诺项中进行承诺）</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2.服务商提供3年完整的售后服务,包含系统运维、软件系统升级等。投标人需根据学校要求在现场或安装地点（或指导用户）进行产品的安装调试工作。按产品维修计划和服务项目所规定的维修类别进行的服务工作，向用户提供产品说明书、使用说明书、维修手册等有关技术文件。</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3.3年服务期内软件故障报修的应急响应时间：2小时内响应，24小时内到达现场（含节假日）。</w:t>
            </w:r>
            <w:r>
              <w:rPr>
                <w:rFonts w:hint="eastAsia" w:ascii="宋体" w:hAnsi="宋体" w:cs="宋体"/>
                <w:b/>
                <w:color w:val="000000" w:themeColor="text1"/>
                <w:kern w:val="0"/>
              </w:rPr>
              <w:t>（须在投标文件服务承诺项中进行承诺）</w:t>
            </w:r>
          </w:p>
        </w:tc>
      </w:tr>
      <w:tr>
        <w:tblPrEx>
          <w:tblCellMar>
            <w:top w:w="0" w:type="dxa"/>
            <w:left w:w="0" w:type="dxa"/>
            <w:bottom w:w="0" w:type="dxa"/>
            <w:right w:w="0" w:type="dxa"/>
          </w:tblCellMar>
        </w:tblPrEx>
        <w:trPr>
          <w:trHeight w:val="94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定制专业人才建设方案</w:t>
            </w: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kern w:val="0"/>
              </w:rPr>
              <w:t>供应商须每年至少一次协助学校完成网络空间安全专业群建设，协助完成专业类别包括但不限于：大数据安全专业、物联网安全专业、web安全与安全开发专业人才培养方案制定等。</w:t>
            </w:r>
            <w:r>
              <w:rPr>
                <w:rFonts w:hint="eastAsia" w:ascii="宋体" w:hAnsi="宋体" w:cs="宋体"/>
                <w:b/>
                <w:color w:val="000000" w:themeColor="text1"/>
                <w:kern w:val="0"/>
              </w:rPr>
              <w:t>（须在投标文件服务承诺项中进行承诺）</w:t>
            </w:r>
          </w:p>
        </w:tc>
      </w:tr>
      <w:tr>
        <w:tblPrEx>
          <w:tblCellMar>
            <w:top w:w="0" w:type="dxa"/>
            <w:left w:w="0" w:type="dxa"/>
            <w:bottom w:w="0" w:type="dxa"/>
            <w:right w:w="0" w:type="dxa"/>
          </w:tblCellMar>
        </w:tblPrEx>
        <w:trPr>
          <w:trHeight w:val="394" w:hRule="atLeast"/>
          <w:jc w:val="center"/>
        </w:trPr>
        <w:tc>
          <w:tcPr>
            <w:tcW w:w="708" w:type="dxa"/>
            <w:tcBorders>
              <w:top w:val="single" w:color="000000" w:sz="4" w:space="0"/>
              <w:left w:val="single" w:color="000000" w:sz="4" w:space="0"/>
              <w:bottom w:val="single" w:color="000000" w:sz="6" w:space="0"/>
              <w:right w:val="single" w:color="000000" w:sz="6"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5</w:t>
            </w:r>
          </w:p>
        </w:tc>
        <w:tc>
          <w:tcPr>
            <w:tcW w:w="1276" w:type="dxa"/>
            <w:tcBorders>
              <w:top w:val="single" w:color="000000" w:sz="4" w:space="0"/>
              <w:left w:val="single" w:color="000000" w:sz="6" w:space="0"/>
              <w:bottom w:val="single" w:color="000000" w:sz="6" w:space="0"/>
              <w:right w:val="single" w:color="000000" w:sz="6"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招生推广服务</w:t>
            </w:r>
          </w:p>
        </w:tc>
        <w:tc>
          <w:tcPr>
            <w:tcW w:w="8147" w:type="dxa"/>
            <w:tcBorders>
              <w:top w:val="single" w:color="000000" w:sz="4" w:space="0"/>
              <w:left w:val="single" w:color="000000" w:sz="6" w:space="0"/>
              <w:bottom w:val="single" w:color="000000" w:sz="6"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供应商在投标文件中列举协助学校招生的支持方案。</w:t>
            </w:r>
          </w:p>
        </w:tc>
      </w:tr>
      <w:tr>
        <w:tblPrEx>
          <w:tblCellMar>
            <w:top w:w="0" w:type="dxa"/>
            <w:left w:w="0" w:type="dxa"/>
            <w:bottom w:w="0" w:type="dxa"/>
            <w:right w:w="0" w:type="dxa"/>
          </w:tblCellMar>
        </w:tblPrEx>
        <w:trPr>
          <w:trHeight w:val="1498" w:hRule="atLeast"/>
          <w:jc w:val="center"/>
        </w:trPr>
        <w:tc>
          <w:tcPr>
            <w:tcW w:w="708" w:type="dxa"/>
            <w:tcBorders>
              <w:top w:val="single" w:color="000000" w:sz="6" w:space="0"/>
              <w:left w:val="single" w:color="000000" w:sz="4" w:space="0"/>
              <w:bottom w:val="single" w:color="000000" w:sz="4" w:space="0"/>
              <w:right w:val="single" w:color="000000" w:sz="6"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6</w:t>
            </w:r>
          </w:p>
        </w:tc>
        <w:tc>
          <w:tcPr>
            <w:tcW w:w="1276" w:type="dxa"/>
            <w:tcBorders>
              <w:top w:val="single" w:color="000000" w:sz="6" w:space="0"/>
              <w:left w:val="single" w:color="000000" w:sz="6" w:space="0"/>
              <w:bottom w:val="single" w:color="000000" w:sz="4" w:space="0"/>
              <w:right w:val="single" w:color="000000" w:sz="6"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师资培训服务</w:t>
            </w:r>
          </w:p>
        </w:tc>
        <w:tc>
          <w:tcPr>
            <w:tcW w:w="8147" w:type="dxa"/>
            <w:tcBorders>
              <w:top w:val="single" w:color="000000" w:sz="6" w:space="0"/>
              <w:left w:val="single" w:color="000000" w:sz="6"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▲1.师资培训总体要求：每年为校方培训能够承担专业课教学与实验实训的师资不少于5人次，课程涵盖专科阶段信息安全与管理、云计算技术专业的所有核心专业课。（须在投标文件服务承诺项中进行承诺）</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2.供应商在投标文件提供培训方案，培训类别不限于专业课程培训、教学方法培训等；报价费用应包含住宿、培训费。</w:t>
            </w:r>
          </w:p>
        </w:tc>
      </w:tr>
      <w:tr>
        <w:tblPrEx>
          <w:tblCellMar>
            <w:top w:w="0" w:type="dxa"/>
            <w:left w:w="0" w:type="dxa"/>
            <w:bottom w:w="0" w:type="dxa"/>
            <w:right w:w="0" w:type="dxa"/>
          </w:tblCellMar>
        </w:tblPrEx>
        <w:trPr>
          <w:trHeight w:val="259" w:hRule="atLeast"/>
          <w:jc w:val="center"/>
        </w:trPr>
        <w:tc>
          <w:tcPr>
            <w:tcW w:w="7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7</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专业教学服务</w:t>
            </w:r>
          </w:p>
        </w:tc>
        <w:tc>
          <w:tcPr>
            <w:tcW w:w="81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★供应商必须提供不少于40门专业理论与实践教学服务，不少于2人2年驻校。工作量不少于校内教师基本工作量。报价费用应包含所派驻人员产生的所有费用（校方提供宿舍）。</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1. 投标人派驻校方承担教学任务的工程师应有较高的专业水平，取得中级以上职称证书或取得中级以上国家职业资格考试证书或取得行业/企业认证考试高级证书；</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2.投标人派驻校方承担教学任务的工程师应有较高的师德师风，因派驻人员原因给校方造成不良影响的，供应商须承担赔偿责任；教学质量考核由校企双方共同制定考核办法来执行，良好以上。</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3.课程教学支持的内容包括：结合实训实验设备开发所需要的实训的案例、PPT课件、教师手册和试题库。</w:t>
            </w:r>
          </w:p>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（须在投标文件服务承诺项中进行承诺）</w:t>
            </w:r>
          </w:p>
        </w:tc>
      </w:tr>
      <w:tr>
        <w:tblPrEx>
          <w:tblCellMar>
            <w:top w:w="0" w:type="dxa"/>
            <w:left w:w="0" w:type="dxa"/>
            <w:bottom w:w="0" w:type="dxa"/>
            <w:right w:w="0" w:type="dxa"/>
          </w:tblCellMar>
        </w:tblPrEx>
        <w:trPr>
          <w:trHeight w:val="586"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8</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大学生竞赛服务</w:t>
            </w: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kern w:val="0"/>
              </w:rPr>
              <w:t>1、供应商须每年协助学校举办 1 次校内网络攻防大赛；三年内协助学校承办省级大学生网络攻防大赛1次。</w:t>
            </w:r>
            <w:r>
              <w:rPr>
                <w:rFonts w:hint="eastAsia" w:ascii="宋体" w:hAnsi="宋体" w:cs="宋体"/>
                <w:b/>
                <w:color w:val="000000" w:themeColor="text1"/>
                <w:kern w:val="0"/>
              </w:rPr>
              <w:t>（须在投标文件服务承诺项中进行承诺）</w:t>
            </w:r>
          </w:p>
        </w:tc>
      </w:tr>
      <w:tr>
        <w:tblPrEx>
          <w:tblCellMar>
            <w:top w:w="0" w:type="dxa"/>
            <w:left w:w="0" w:type="dxa"/>
            <w:bottom w:w="0" w:type="dxa"/>
            <w:right w:w="0" w:type="dxa"/>
          </w:tblCellMar>
        </w:tblPrEx>
        <w:trPr>
          <w:trHeight w:val="58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rPr>
            </w:pP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kern w:val="0"/>
              </w:rPr>
              <w:t>2、赛前辅导服务，针对学校学生参加省赛、行业赛、国赛等网络信息安全类比赛时，供应商须进行赛前辅导，辅导周期不少于30天。并选拔优秀学员，协助校方组建网安俱乐部。</w:t>
            </w:r>
          </w:p>
        </w:tc>
      </w:tr>
      <w:tr>
        <w:tblPrEx>
          <w:tblCellMar>
            <w:top w:w="0" w:type="dxa"/>
            <w:left w:w="0" w:type="dxa"/>
            <w:bottom w:w="0" w:type="dxa"/>
            <w:right w:w="0" w:type="dxa"/>
          </w:tblCellMar>
        </w:tblPrEx>
        <w:trPr>
          <w:trHeight w:val="4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企业职业认证考试与社会培训</w:t>
            </w: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rPr>
            </w:pPr>
            <w:r>
              <w:rPr>
                <w:rFonts w:hint="eastAsia" w:ascii="宋体" w:hAnsi="宋体" w:cs="宋体"/>
                <w:color w:val="000000" w:themeColor="text1"/>
              </w:rPr>
              <w:t>1.供应商须已建立企业职业技能证书认证体系，</w:t>
            </w:r>
            <w:r>
              <w:rPr>
                <w:rFonts w:hint="eastAsia" w:ascii="宋体" w:hAnsi="宋体" w:cs="宋体"/>
                <w:bCs/>
                <w:color w:val="000000" w:themeColor="text1"/>
              </w:rPr>
              <w:t>认证体系包括服务商企业安全认证体系或供应商与国家合作的技能认证体系；</w:t>
            </w:r>
            <w:r>
              <w:rPr>
                <w:rFonts w:hint="eastAsia" w:ascii="宋体" w:hAnsi="宋体" w:cs="宋体"/>
                <w:color w:val="000000" w:themeColor="text1"/>
              </w:rPr>
              <w:t>能够颁发企业职业技能证书；</w:t>
            </w:r>
          </w:p>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rPr>
              <w:t>2.提供面向校内相关专业学生至少一次免费认证考试机会，对未通过的补考与社会人员考试进行报价说明；</w:t>
            </w:r>
            <w:r>
              <w:rPr>
                <w:rFonts w:hint="eastAsia" w:ascii="宋体" w:hAnsi="宋体" w:cs="宋体"/>
                <w:b/>
                <w:color w:val="000000" w:themeColor="text1"/>
                <w:kern w:val="0"/>
              </w:rPr>
              <w:t>（须在投标文件服务承诺项中进行承诺）</w:t>
            </w:r>
          </w:p>
          <w:p>
            <w:pPr>
              <w:widowControl/>
              <w:jc w:val="left"/>
              <w:textAlignment w:val="center"/>
              <w:rPr>
                <w:rFonts w:ascii="宋体" w:hAnsi="宋体" w:cs="宋体"/>
                <w:color w:val="000000" w:themeColor="text1"/>
              </w:rPr>
            </w:pPr>
            <w:r>
              <w:rPr>
                <w:rFonts w:hint="eastAsia" w:ascii="宋体" w:hAnsi="宋体" w:cs="宋体"/>
                <w:color w:val="000000" w:themeColor="text1"/>
              </w:rPr>
              <w:t>3. 供应商须面向学校在校师生提供认证培训服务，供应商对认证考试成绩优异者提供的实习就业名额，保障学生就业；</w:t>
            </w:r>
          </w:p>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rPr>
              <w:t>4、供应商基于实验室在校内设立社会培训中心，帮助学校开展对外社会培训推广，例如：导入网安行业认证培训体系、市场推广、招收社会学员等工作内容，三年建设期内引进的社会培训不少于600人次。</w:t>
            </w:r>
            <w:r>
              <w:rPr>
                <w:rFonts w:hint="eastAsia" w:ascii="宋体" w:hAnsi="宋体" w:cs="宋体"/>
                <w:b/>
                <w:color w:val="000000" w:themeColor="text1"/>
                <w:kern w:val="0"/>
              </w:rPr>
              <w:t>（须在投标文件服务承诺项中进行承诺）</w:t>
            </w:r>
          </w:p>
        </w:tc>
      </w:tr>
      <w:tr>
        <w:tblPrEx>
          <w:tblCellMar>
            <w:top w:w="0" w:type="dxa"/>
            <w:left w:w="0" w:type="dxa"/>
            <w:bottom w:w="0" w:type="dxa"/>
            <w:right w:w="0" w:type="dxa"/>
          </w:tblCellMar>
        </w:tblPrEx>
        <w:trPr>
          <w:trHeight w:val="1416" w:hRule="atLeast"/>
          <w:jc w:val="center"/>
        </w:trPr>
        <w:tc>
          <w:tcPr>
            <w:tcW w:w="7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10</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课程资源库开发服务</w:t>
            </w:r>
          </w:p>
        </w:tc>
        <w:tc>
          <w:tcPr>
            <w:tcW w:w="81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themeColor="text1"/>
              </w:rPr>
            </w:pPr>
            <w:r>
              <w:rPr>
                <w:rFonts w:hint="eastAsia" w:ascii="宋体" w:hAnsi="宋体" w:cs="宋体"/>
                <w:b/>
                <w:color w:val="000000" w:themeColor="text1"/>
                <w:kern w:val="0"/>
              </w:rPr>
              <w:t>▲</w:t>
            </w:r>
            <w:r>
              <w:rPr>
                <w:rFonts w:hint="eastAsia" w:ascii="宋体" w:hAnsi="宋体" w:cs="宋体"/>
                <w:color w:val="000000" w:themeColor="text1"/>
                <w:kern w:val="0"/>
              </w:rPr>
              <w:t>1.投标人须每年一次与网络空间安全专业群的各专业带头人进行特色教材开发以及学</w:t>
            </w:r>
            <w:r>
              <w:rPr>
                <w:rFonts w:hint="eastAsia" w:ascii="宋体" w:hAnsi="宋体" w:cs="宋体"/>
                <w:bCs/>
                <w:color w:val="000000" w:themeColor="text1"/>
              </w:rPr>
              <w:t>术交流等，三年至少共同发表论文6篇、课题2项。</w:t>
            </w:r>
          </w:p>
          <w:p>
            <w:pPr>
              <w:widowControl/>
              <w:jc w:val="left"/>
              <w:textAlignment w:val="center"/>
              <w:rPr>
                <w:rFonts w:ascii="宋体" w:hAnsi="宋体" w:cs="宋体"/>
                <w:color w:val="000000" w:themeColor="text1"/>
                <w:kern w:val="0"/>
              </w:rPr>
            </w:pPr>
            <w:r>
              <w:rPr>
                <w:rFonts w:hint="eastAsia" w:ascii="宋体" w:hAnsi="宋体" w:cs="宋体"/>
                <w:bCs/>
                <w:color w:val="000000" w:themeColor="text1"/>
              </w:rPr>
              <w:t>▲2.投标人须对以教学配套的网络安全软硬件设备为依托，定制开发在线开放课程不</w:t>
            </w:r>
            <w:r>
              <w:rPr>
                <w:rFonts w:hint="eastAsia" w:ascii="宋体" w:hAnsi="宋体" w:cs="宋体"/>
                <w:color w:val="000000" w:themeColor="text1"/>
                <w:kern w:val="0"/>
              </w:rPr>
              <w:t>少于6门。内容须涵盖：课程大纲、讲义、教学ppt、实验指导书、试题库、实训实验的教学及实操资源。</w:t>
            </w:r>
            <w:r>
              <w:rPr>
                <w:rFonts w:hint="eastAsia" w:ascii="宋体" w:hAnsi="宋体" w:cs="宋体"/>
                <w:b/>
                <w:color w:val="000000" w:themeColor="text1"/>
                <w:kern w:val="0"/>
              </w:rPr>
              <w:t>（须在投标文件服务承诺项中进行承诺）</w:t>
            </w:r>
          </w:p>
        </w:tc>
      </w:tr>
      <w:tr>
        <w:tblPrEx>
          <w:tblCellMar>
            <w:top w:w="0" w:type="dxa"/>
            <w:left w:w="0" w:type="dxa"/>
            <w:bottom w:w="0" w:type="dxa"/>
            <w:right w:w="0" w:type="dxa"/>
          </w:tblCellMar>
        </w:tblPrEx>
        <w:trPr>
          <w:trHeight w:val="418" w:hRule="atLeast"/>
          <w:jc w:val="center"/>
        </w:trPr>
        <w:tc>
          <w:tcPr>
            <w:tcW w:w="7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11</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就业服务</w:t>
            </w:r>
          </w:p>
        </w:tc>
        <w:tc>
          <w:tcPr>
            <w:tcW w:w="81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kern w:val="0"/>
              </w:rPr>
              <w:t>1.供应商须每年提供不少于200人次的学生就业服务。</w:t>
            </w:r>
          </w:p>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kern w:val="0"/>
              </w:rPr>
              <w:t>2.供应商须每年组织一次校内专场招聘会。</w:t>
            </w:r>
          </w:p>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kern w:val="0"/>
              </w:rPr>
              <w:t>3.供应商须每年供一份企业用人需求名单。名单中包含企业名称、规模、当年需求数量、本/专科应届就业薪资、特殊要求。</w:t>
            </w:r>
            <w:r>
              <w:rPr>
                <w:rFonts w:hint="eastAsia" w:ascii="宋体" w:hAnsi="宋体" w:cs="宋体"/>
                <w:b/>
                <w:color w:val="000000" w:themeColor="text1"/>
                <w:kern w:val="0"/>
              </w:rPr>
              <w:t>（以上1-3项须在投标文件服务承诺项中进行承诺）</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供应商设有专门的校企合作部为学生提供全面、完善的就业支持服务，其中包括就业指导服务、实习就业推荐服务、定向人才培养服务等。就业指导实训服务有助于学生提高和掌握综合就业实践能力，从容面对各种招聘考核，使学生在面试中更具竞争力；实习就业推荐服务能极大地提高学生就业率和专业对口率，保障学生就业质量；定向人才培养服务，为学生提供优质企业的就业岗位，通过定岗实训综合实力，更好的在企业中发展。</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4.供应商已建就业服务平台。系统主要功能包括：</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（1）招聘企业信息注册、开放使用权限，完善个人信息。</w:t>
            </w:r>
          </w:p>
          <w:p>
            <w:pPr>
              <w:widowControl/>
              <w:jc w:val="left"/>
              <w:textAlignment w:val="center"/>
              <w:rPr>
                <w:rFonts w:ascii="宋体" w:hAnsi="宋体" w:cs="宋体"/>
                <w:color w:val="000000" w:themeColor="text1"/>
              </w:rPr>
            </w:pPr>
            <w:r>
              <w:rPr>
                <w:rFonts w:hint="eastAsia" w:ascii="宋体" w:hAnsi="宋体" w:cs="宋体"/>
                <w:color w:val="000000" w:themeColor="text1"/>
                <w:kern w:val="0"/>
              </w:rPr>
              <w:t>（2）招聘企业录入招聘启事，学生可以通过就业服务平台投递简历，并预约面试等功能。</w:t>
            </w:r>
          </w:p>
          <w:p>
            <w:pPr>
              <w:jc w:val="left"/>
              <w:textAlignment w:val="center"/>
              <w:rPr>
                <w:rFonts w:ascii="宋体" w:hAnsi="宋体" w:cs="宋体"/>
                <w:color w:val="000000" w:themeColor="text1"/>
              </w:rPr>
            </w:pPr>
            <w:r>
              <w:rPr>
                <w:rFonts w:hint="eastAsia" w:ascii="宋体" w:hAnsi="宋体" w:cs="宋体"/>
                <w:color w:val="000000" w:themeColor="text1"/>
                <w:kern w:val="0"/>
              </w:rPr>
              <w:t>（3）就业企业信息库管理，系统记录了所有合作企业的地址以及联系方式。</w:t>
            </w:r>
          </w:p>
        </w:tc>
      </w:tr>
      <w:tr>
        <w:tblPrEx>
          <w:tblCellMar>
            <w:top w:w="0" w:type="dxa"/>
            <w:left w:w="0" w:type="dxa"/>
            <w:bottom w:w="0" w:type="dxa"/>
            <w:right w:w="0" w:type="dxa"/>
          </w:tblCellMar>
        </w:tblPrEx>
        <w:trPr>
          <w:trHeight w:val="302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教学管理服务</w:t>
            </w: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供应商提供教学运行管理平台，系统功能如下：</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1.系统管理：对系统用户、进行管理授权；</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2.院校数据：对学校、专业、班级、学生等基本信息进行管理，对校历进行管理；</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3.教务管理功能：录入专业的培养计划、各班级配备师资，课程表，能对教师的资料反馈进行时效性以及量化的考核工作，如：是否及时提交授课资料、课时统计等内容；教师满意度调查模块的发起、进度监督、结果统计；对教学资料进行档案性查询；</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4.教学工作：教师对课程考核方案、教学进度、授课资料等内容进行提交、反馈，对课程表进行查询；</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5.流程审批：对教学服务计划、课程考核方案等内容进行流程化审批；</w:t>
            </w:r>
          </w:p>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6.提供不少于20个账号3年的授权使用。</w:t>
            </w:r>
          </w:p>
        </w:tc>
      </w:tr>
      <w:tr>
        <w:tblPrEx>
          <w:tblCellMar>
            <w:top w:w="0" w:type="dxa"/>
            <w:left w:w="0" w:type="dxa"/>
            <w:bottom w:w="0" w:type="dxa"/>
            <w:right w:w="0" w:type="dxa"/>
          </w:tblCellMar>
        </w:tblPrEx>
        <w:trPr>
          <w:trHeight w:val="55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装潢设计</w:t>
            </w: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b/>
                <w:color w:val="000000" w:themeColor="text1"/>
                <w:kern w:val="0"/>
              </w:rPr>
              <w:t>★</w:t>
            </w:r>
            <w:r>
              <w:rPr>
                <w:rFonts w:hint="eastAsia" w:ascii="宋体" w:hAnsi="宋体" w:cs="宋体"/>
                <w:color w:val="000000" w:themeColor="text1"/>
                <w:kern w:val="0"/>
              </w:rPr>
              <w:t>投标人</w:t>
            </w:r>
            <w:r>
              <w:rPr>
                <w:rFonts w:hint="eastAsia" w:ascii="宋体" w:hAnsi="宋体" w:cs="宋体"/>
                <w:color w:val="000000" w:themeColor="text1"/>
              </w:rPr>
              <w:t>根据招标文件提供的数据中心、四个实验室平面图至现场勘察，设计与本项目相适应并</w:t>
            </w:r>
            <w:r>
              <w:rPr>
                <w:rFonts w:hint="eastAsia" w:ascii="宋体" w:hAnsi="宋体" w:cs="宋体"/>
                <w:color w:val="000000" w:themeColor="text1"/>
                <w:kern w:val="0"/>
              </w:rPr>
              <w:t>体现企业文化</w:t>
            </w:r>
            <w:r>
              <w:rPr>
                <w:rFonts w:hint="eastAsia" w:ascii="宋体" w:hAnsi="宋体" w:cs="宋体"/>
                <w:color w:val="000000" w:themeColor="text1"/>
              </w:rPr>
              <w:t>的室内平面布置图、装潢效果图与施工图，对装潢主要材料提出建议并负责提供全区域墙贴类文化标志标识。</w:t>
            </w:r>
            <w:r>
              <w:rPr>
                <w:rFonts w:hint="eastAsia" w:ascii="宋体" w:hAnsi="宋体" w:cs="宋体"/>
                <w:b/>
                <w:color w:val="000000" w:themeColor="text1"/>
              </w:rPr>
              <w:t>（提供设计图纸，并进行现场效果图演示）</w:t>
            </w:r>
          </w:p>
        </w:tc>
      </w:tr>
      <w:tr>
        <w:tblPrEx>
          <w:tblCellMar>
            <w:top w:w="0" w:type="dxa"/>
            <w:left w:w="0" w:type="dxa"/>
            <w:bottom w:w="0" w:type="dxa"/>
            <w:right w:w="0" w:type="dxa"/>
          </w:tblCellMar>
        </w:tblPrEx>
        <w:trPr>
          <w:trHeight w:val="13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其他</w:t>
            </w:r>
          </w:p>
        </w:tc>
        <w:tc>
          <w:tcPr>
            <w:tcW w:w="8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rPr>
            </w:pPr>
            <w:r>
              <w:rPr>
                <w:rFonts w:hint="eastAsia" w:ascii="宋体" w:hAnsi="宋体" w:cs="宋体"/>
                <w:color w:val="000000" w:themeColor="text1"/>
                <w:kern w:val="0"/>
              </w:rPr>
              <w:t>投标人提供的与网络安全人才培养相关的其他硬件服务项。</w:t>
            </w:r>
          </w:p>
        </w:tc>
      </w:tr>
      <w:tr>
        <w:tblPrEx>
          <w:tblCellMar>
            <w:top w:w="0" w:type="dxa"/>
            <w:left w:w="0" w:type="dxa"/>
            <w:bottom w:w="0" w:type="dxa"/>
            <w:right w:w="0" w:type="dxa"/>
          </w:tblCellMar>
        </w:tblPrEx>
        <w:trPr>
          <w:trHeight w:val="402" w:hRule="atLeast"/>
          <w:jc w:val="center"/>
        </w:trPr>
        <w:tc>
          <w:tcPr>
            <w:tcW w:w="10131" w:type="dxa"/>
            <w:gridSpan w:val="3"/>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themeColor="text1"/>
                <w:kern w:val="0"/>
              </w:rPr>
            </w:pPr>
            <w:r>
              <w:rPr>
                <w:rFonts w:hint="eastAsia" w:ascii="宋体" w:hAnsi="宋体" w:cs="宋体"/>
                <w:b/>
                <w:color w:val="000000" w:themeColor="text1"/>
                <w:kern w:val="0"/>
              </w:rPr>
              <w:t>备注：以上配套服务要求，投标人根据自身情况逐项进行响应报价。</w:t>
            </w:r>
          </w:p>
        </w:tc>
      </w:tr>
    </w:tbl>
    <w:p>
      <w:pPr>
        <w:pStyle w:val="2"/>
        <w:spacing w:line="240" w:lineRule="auto"/>
        <w:ind w:firstLine="482"/>
        <w:rPr>
          <w:rFonts w:cs="宋体"/>
          <w:color w:val="000000" w:themeColor="text1"/>
          <w:sz w:val="24"/>
        </w:rPr>
      </w:pPr>
      <w:r>
        <w:rPr>
          <w:rFonts w:hint="eastAsia" w:cs="宋体"/>
          <w:b/>
          <w:color w:val="000000" w:themeColor="text1"/>
          <w:sz w:val="24"/>
        </w:rPr>
        <w:t>注：</w:t>
      </w:r>
      <w:r>
        <w:rPr>
          <w:rFonts w:hint="eastAsia" w:cs="宋体"/>
          <w:color w:val="000000" w:themeColor="text1"/>
          <w:sz w:val="24"/>
        </w:rPr>
        <w:t>确定中标人后，招标人将在5个工作日内书面通知中标人对实验平台进行逐项功能演示，若演示结果未达到招标文件技术要求的，将视为虚假应标，招标人有权取消其中标资格并保留追究其法律责任的权利。</w:t>
      </w:r>
    </w:p>
    <w:p>
      <w:pPr>
        <w:rPr>
          <w:rFonts w:ascii="宋体" w:hAnsi="宋体" w:cs="宋体"/>
          <w:color w:val="000000" w:themeColor="text1"/>
        </w:rPr>
      </w:pPr>
    </w:p>
    <w:bookmarkEnd w:id="174"/>
    <w:bookmarkEnd w:id="175"/>
    <w:bookmarkEnd w:id="176"/>
    <w:bookmarkEnd w:id="177"/>
    <w:p>
      <w:pPr>
        <w:pStyle w:val="4"/>
        <w:rPr>
          <w:rFonts w:ascii="宋体" w:hAnsi="宋体" w:eastAsia="宋体" w:cs="宋体"/>
          <w:bCs/>
          <w:color w:val="000000" w:themeColor="text1"/>
          <w:sz w:val="44"/>
        </w:rPr>
      </w:pPr>
      <w:r>
        <w:rPr>
          <w:rFonts w:hint="eastAsia" w:ascii="宋体" w:hAnsi="宋体" w:eastAsia="宋体" w:cs="宋体"/>
          <w:b/>
          <w:bCs/>
          <w:color w:val="000000" w:themeColor="text1"/>
          <w:sz w:val="44"/>
        </w:rPr>
        <w:br w:type="page"/>
      </w:r>
      <w:bookmarkStart w:id="187" w:name="_Toc18481238"/>
      <w:r>
        <w:rPr>
          <w:rFonts w:hint="eastAsia" w:ascii="宋体" w:hAnsi="宋体" w:eastAsia="宋体" w:cs="宋体"/>
          <w:b/>
          <w:color w:val="000000" w:themeColor="text1"/>
          <w:sz w:val="44"/>
          <w:szCs w:val="44"/>
        </w:rPr>
        <w:t>第五章  评标方法与评标标准</w:t>
      </w:r>
      <w:bookmarkEnd w:id="187"/>
    </w:p>
    <w:p>
      <w:pPr>
        <w:spacing w:line="440" w:lineRule="exact"/>
        <w:rPr>
          <w:rFonts w:ascii="宋体" w:hAnsi="宋体" w:cs="宋体"/>
          <w:color w:val="000000" w:themeColor="text1"/>
        </w:rPr>
      </w:pPr>
    </w:p>
    <w:p>
      <w:pPr>
        <w:snapToGrid w:val="0"/>
        <w:spacing w:line="44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snapToGrid w:val="0"/>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44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二、评标标准</w:t>
      </w:r>
    </w:p>
    <w:p>
      <w:pPr>
        <w:snapToGrid w:val="0"/>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p>
      <w:pPr>
        <w:pStyle w:val="2"/>
        <w:ind w:firstLine="482"/>
        <w:rPr>
          <w:rFonts w:cs="宋体"/>
          <w:b/>
          <w:color w:val="000000" w:themeColor="text1"/>
          <w:sz w:val="24"/>
          <w:szCs w:val="24"/>
        </w:rPr>
      </w:pPr>
      <w:r>
        <w:rPr>
          <w:rFonts w:hint="eastAsia" w:cs="宋体"/>
          <w:b/>
          <w:color w:val="000000" w:themeColor="text1"/>
          <w:sz w:val="24"/>
          <w:szCs w:val="24"/>
        </w:rPr>
        <w:t>分包一：</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91"/>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评审内容</w:t>
            </w:r>
          </w:p>
        </w:tc>
        <w:tc>
          <w:tcPr>
            <w:tcW w:w="1191"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评分项</w:t>
            </w:r>
          </w:p>
        </w:tc>
        <w:tc>
          <w:tcPr>
            <w:tcW w:w="6528"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价格分</w:t>
            </w:r>
          </w:p>
          <w:p>
            <w:pPr>
              <w:jc w:val="center"/>
              <w:rPr>
                <w:rFonts w:ascii="宋体" w:hAnsi="宋体" w:cs="宋体"/>
                <w:color w:val="000000" w:themeColor="text1"/>
                <w:sz w:val="24"/>
                <w:szCs w:val="24"/>
              </w:rPr>
            </w:pPr>
            <w:r>
              <w:rPr>
                <w:rFonts w:hint="eastAsia" w:ascii="宋体" w:hAnsi="宋体" w:cs="宋体"/>
                <w:color w:val="000000" w:themeColor="text1"/>
                <w:sz w:val="24"/>
                <w:szCs w:val="24"/>
              </w:rPr>
              <w:t>（共50分）</w:t>
            </w:r>
          </w:p>
        </w:tc>
        <w:tc>
          <w:tcPr>
            <w:tcW w:w="1191"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投标报价（50分）</w:t>
            </w:r>
          </w:p>
        </w:tc>
        <w:tc>
          <w:tcPr>
            <w:tcW w:w="6528" w:type="dxa"/>
            <w:tcBorders>
              <w:top w:val="single" w:color="auto" w:sz="4" w:space="0"/>
              <w:left w:val="nil"/>
              <w:bottom w:val="single" w:color="auto" w:sz="4" w:space="0"/>
              <w:right w:val="single" w:color="auto" w:sz="4" w:space="0"/>
            </w:tcBorders>
          </w:tcPr>
          <w:p>
            <w:pPr>
              <w:rPr>
                <w:rFonts w:ascii="宋体" w:hAnsi="宋体" w:cs="宋体"/>
                <w:color w:val="000000" w:themeColor="text1"/>
                <w:sz w:val="24"/>
                <w:szCs w:val="24"/>
              </w:rPr>
            </w:pPr>
            <w:r>
              <w:rPr>
                <w:rFonts w:hint="eastAsia" w:ascii="宋体" w:hAnsi="宋体" w:cs="宋体"/>
                <w:color w:val="000000" w:themeColor="text1"/>
                <w:sz w:val="24"/>
                <w:szCs w:val="24"/>
              </w:rPr>
              <w:t>采用低价优先法计算，即满足招标文件要求且投标报价最低的投标报价为评标基准价，其价格为满分50分，其他投标人的报价统一按照下列公式计算：投标报价得分=(评标基准价/投标报价)×50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05" w:type="dxa"/>
            <w:vMerge w:val="restart"/>
            <w:tcBorders>
              <w:top w:val="nil"/>
              <w:left w:val="single" w:color="auto" w:sz="4" w:space="0"/>
              <w:right w:val="single" w:color="auto" w:sz="4" w:space="0"/>
            </w:tcBorders>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技术分</w:t>
            </w:r>
          </w:p>
          <w:p>
            <w:pPr>
              <w:jc w:val="center"/>
              <w:rPr>
                <w:rFonts w:ascii="宋体" w:hAnsi="宋体" w:cs="宋体"/>
                <w:color w:val="000000" w:themeColor="text1"/>
                <w:sz w:val="24"/>
                <w:szCs w:val="24"/>
              </w:rPr>
            </w:pPr>
            <w:r>
              <w:rPr>
                <w:rFonts w:hint="eastAsia" w:ascii="宋体" w:hAnsi="宋体" w:cs="宋体"/>
                <w:color w:val="000000" w:themeColor="text1"/>
                <w:sz w:val="24"/>
                <w:szCs w:val="24"/>
              </w:rPr>
              <w:t>（共30分）</w:t>
            </w:r>
          </w:p>
        </w:tc>
        <w:tc>
          <w:tcPr>
            <w:tcW w:w="1191"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技术参数（20分）</w:t>
            </w:r>
          </w:p>
        </w:tc>
        <w:tc>
          <w:tcPr>
            <w:tcW w:w="6528" w:type="dxa"/>
            <w:tcBorders>
              <w:top w:val="single" w:color="auto" w:sz="4" w:space="0"/>
              <w:left w:val="nil"/>
              <w:bottom w:val="single" w:color="auto" w:sz="4" w:space="0"/>
              <w:right w:val="single" w:color="auto" w:sz="4" w:space="0"/>
            </w:tcBorders>
            <w:vAlign w:val="center"/>
          </w:tcPr>
          <w:p>
            <w:pPr>
              <w:outlineLvl w:val="0"/>
              <w:rPr>
                <w:rFonts w:ascii="宋体" w:hAnsi="宋体" w:cs="宋体"/>
                <w:color w:val="000000" w:themeColor="text1"/>
                <w:sz w:val="24"/>
                <w:szCs w:val="24"/>
              </w:rPr>
            </w:pPr>
            <w:r>
              <w:rPr>
                <w:rFonts w:hint="eastAsia" w:ascii="宋体" w:hAnsi="宋体" w:cs="宋体"/>
                <w:color w:val="000000" w:themeColor="text1"/>
                <w:sz w:val="24"/>
                <w:szCs w:val="24"/>
              </w:rPr>
              <w:t>本招标文件 第四章4.1分包一 “技术规格、参数及服务要求”中，每有一项负偏离，扣1分。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05" w:type="dxa"/>
            <w:vMerge w:val="continue"/>
            <w:tcBorders>
              <w:left w:val="single" w:color="auto" w:sz="4" w:space="0"/>
              <w:right w:val="single" w:color="auto" w:sz="4" w:space="0"/>
            </w:tcBorders>
            <w:vAlign w:val="center"/>
          </w:tcPr>
          <w:p>
            <w:pPr>
              <w:ind w:right="57"/>
              <w:jc w:val="center"/>
              <w:rPr>
                <w:rFonts w:ascii="宋体" w:hAnsi="宋体" w:cs="宋体"/>
                <w:color w:val="000000" w:themeColor="text1"/>
                <w:sz w:val="24"/>
                <w:szCs w:val="24"/>
              </w:rPr>
            </w:pPr>
          </w:p>
        </w:tc>
        <w:tc>
          <w:tcPr>
            <w:tcW w:w="1191"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实施方案（10分）</w:t>
            </w:r>
          </w:p>
        </w:tc>
        <w:tc>
          <w:tcPr>
            <w:tcW w:w="6528"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包括配合分包二软件平台的安装与调试、供货组织及进度措施、质量措施、服务保障等</w:t>
            </w:r>
          </w:p>
          <w:p>
            <w:pPr>
              <w:rPr>
                <w:rFonts w:ascii="宋体" w:hAnsi="宋体" w:cs="宋体"/>
                <w:color w:val="000000" w:themeColor="text1"/>
                <w:sz w:val="24"/>
                <w:szCs w:val="24"/>
              </w:rPr>
            </w:pPr>
            <w:r>
              <w:rPr>
                <w:rFonts w:hint="eastAsia" w:ascii="宋体" w:hAnsi="宋体" w:cs="宋体"/>
                <w:color w:val="000000" w:themeColor="text1"/>
                <w:sz w:val="24"/>
                <w:szCs w:val="24"/>
              </w:rPr>
              <w:t>“优”的得9-10分，“良”的得7-8分，其余得1-6分。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205" w:type="dxa"/>
            <w:vMerge w:val="restart"/>
            <w:tcBorders>
              <w:top w:val="nil"/>
              <w:left w:val="single" w:color="auto" w:sz="4" w:space="0"/>
              <w:right w:val="single" w:color="auto" w:sz="4" w:space="0"/>
            </w:tcBorders>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商务分</w:t>
            </w:r>
          </w:p>
          <w:p>
            <w:pPr>
              <w:jc w:val="center"/>
              <w:rPr>
                <w:rFonts w:ascii="宋体" w:hAnsi="宋体" w:cs="宋体"/>
                <w:color w:val="000000" w:themeColor="text1"/>
                <w:sz w:val="24"/>
                <w:szCs w:val="24"/>
              </w:rPr>
            </w:pPr>
            <w:r>
              <w:rPr>
                <w:rFonts w:hint="eastAsia" w:ascii="宋体" w:hAnsi="宋体" w:cs="宋体"/>
                <w:color w:val="000000" w:themeColor="text1"/>
                <w:sz w:val="24"/>
                <w:szCs w:val="24"/>
              </w:rPr>
              <w:t>（共20分）</w:t>
            </w:r>
          </w:p>
        </w:tc>
        <w:tc>
          <w:tcPr>
            <w:tcW w:w="119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售后服务（16分）</w:t>
            </w:r>
          </w:p>
        </w:tc>
        <w:tc>
          <w:tcPr>
            <w:tcW w:w="6528"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1．所有采购设备要求提供质保3年，承诺的得6分。</w:t>
            </w:r>
          </w:p>
          <w:p>
            <w:pPr>
              <w:rPr>
                <w:rFonts w:ascii="宋体" w:hAnsi="宋体" w:cs="宋体"/>
                <w:b/>
                <w:bCs/>
                <w:color w:val="000000" w:themeColor="text1"/>
                <w:sz w:val="24"/>
                <w:szCs w:val="24"/>
              </w:rPr>
            </w:pPr>
            <w:r>
              <w:rPr>
                <w:rFonts w:hint="eastAsia" w:ascii="宋体" w:hAnsi="宋体" w:cs="宋体"/>
                <w:color w:val="000000" w:themeColor="text1"/>
                <w:sz w:val="24"/>
                <w:szCs w:val="24"/>
              </w:rPr>
              <w:t>2．在3年基础上承诺每增加1年质保的加5分。本条最多加10分。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5"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sz w:val="24"/>
                <w:szCs w:val="24"/>
              </w:rPr>
            </w:pPr>
          </w:p>
        </w:tc>
        <w:tc>
          <w:tcPr>
            <w:tcW w:w="119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类似业绩（4分）</w:t>
            </w:r>
          </w:p>
        </w:tc>
        <w:tc>
          <w:tcPr>
            <w:tcW w:w="6528"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投标人自2016年11月1日以来具有同类项目或相似项目单项合同260万元以上业绩的，每提供一项得2分，最多得4分。本项以合同及中标通知书计分。</w:t>
            </w:r>
          </w:p>
        </w:tc>
      </w:tr>
    </w:tbl>
    <w:p>
      <w:pPr>
        <w:snapToGrid w:val="0"/>
        <w:ind w:firstLine="482" w:firstLineChars="200"/>
        <w:rPr>
          <w:rFonts w:ascii="宋体" w:hAnsi="宋体" w:cs="宋体"/>
          <w:bCs/>
          <w:color w:val="000000" w:themeColor="text1"/>
          <w:sz w:val="24"/>
          <w:szCs w:val="24"/>
        </w:rPr>
      </w:pPr>
      <w:r>
        <w:rPr>
          <w:rFonts w:hint="eastAsia" w:ascii="宋体" w:hAnsi="宋体" w:cs="宋体"/>
          <w:b/>
          <w:bCs/>
          <w:color w:val="000000" w:themeColor="text1"/>
          <w:sz w:val="24"/>
          <w:szCs w:val="24"/>
        </w:rPr>
        <w:t>说明</w:t>
      </w:r>
      <w:r>
        <w:rPr>
          <w:rFonts w:hint="eastAsia" w:ascii="宋体" w:hAnsi="宋体" w:cs="宋体"/>
          <w:bCs/>
          <w:color w:val="000000" w:themeColor="text1"/>
          <w:sz w:val="24"/>
          <w:szCs w:val="24"/>
        </w:rPr>
        <w:t xml:space="preserve">： </w:t>
      </w:r>
    </w:p>
    <w:p>
      <w:pPr>
        <w:snapToGrid w:val="0"/>
        <w:ind w:firstLine="420" w:firstLineChars="200"/>
        <w:rPr>
          <w:rFonts w:ascii="宋体" w:hAnsi="宋体" w:cs="宋体"/>
          <w:color w:val="000000" w:themeColor="text1"/>
          <w:szCs w:val="20"/>
          <w:lang w:val="zh-CN"/>
        </w:rPr>
      </w:pPr>
      <w:r>
        <w:rPr>
          <w:rFonts w:hint="eastAsia" w:ascii="宋体" w:hAnsi="宋体" w:cs="宋体"/>
          <w:color w:val="000000" w:themeColor="text1"/>
          <w:szCs w:val="20"/>
          <w:lang w:val="zh-CN"/>
        </w:rPr>
        <w:t>1、以上“技术参数”项得分低于15分的，不得列为中标候选人。</w:t>
      </w:r>
    </w:p>
    <w:p>
      <w:pPr>
        <w:snapToGrid w:val="0"/>
        <w:ind w:firstLine="420" w:firstLineChars="200"/>
        <w:rPr>
          <w:rFonts w:ascii="宋体" w:hAnsi="宋体" w:cs="宋体"/>
          <w:color w:val="000000" w:themeColor="text1"/>
          <w:szCs w:val="20"/>
          <w:lang w:val="zh-CN"/>
        </w:rPr>
      </w:pPr>
      <w:r>
        <w:rPr>
          <w:rFonts w:hint="eastAsia" w:ascii="宋体" w:hAnsi="宋体" w:cs="宋体"/>
          <w:color w:val="000000" w:themeColor="text1"/>
          <w:szCs w:val="20"/>
          <w:lang w:val="zh-CN"/>
        </w:rPr>
        <w:t>2、若供应商提供虚假资料，一经查实取消其中标候选人资格，并向相关主管部门汇报。</w:t>
      </w:r>
    </w:p>
    <w:p>
      <w:pPr>
        <w:snapToGrid w:val="0"/>
        <w:ind w:firstLine="420" w:firstLineChars="200"/>
        <w:rPr>
          <w:rFonts w:ascii="宋体" w:hAnsi="宋体" w:cs="宋体"/>
          <w:color w:val="000000" w:themeColor="text1"/>
          <w:szCs w:val="20"/>
          <w:lang w:val="zh-CN"/>
        </w:rPr>
      </w:pPr>
      <w:r>
        <w:rPr>
          <w:rFonts w:hint="eastAsia" w:ascii="宋体" w:hAnsi="宋体" w:cs="宋体"/>
          <w:color w:val="000000" w:themeColor="text1"/>
          <w:szCs w:val="20"/>
          <w:lang w:val="zh-CN"/>
        </w:rPr>
        <w:t>3、中标单位不得转包、分包，如果发现有转包、分包情况，则取消其中标候选人资格，并向相关主管部门汇报。</w:t>
      </w:r>
    </w:p>
    <w:p>
      <w:pPr>
        <w:pStyle w:val="2"/>
        <w:ind w:firstLine="482"/>
        <w:rPr>
          <w:rFonts w:cs="宋体"/>
          <w:b/>
          <w:color w:val="000000" w:themeColor="text1"/>
          <w:sz w:val="24"/>
          <w:szCs w:val="24"/>
        </w:rPr>
      </w:pPr>
    </w:p>
    <w:p>
      <w:pPr>
        <w:rPr>
          <w:rFonts w:cs="宋体"/>
          <w:b/>
          <w:color w:val="000000" w:themeColor="text1"/>
          <w:sz w:val="24"/>
          <w:szCs w:val="24"/>
        </w:rPr>
      </w:pPr>
      <w:r>
        <w:rPr>
          <w:rFonts w:hint="eastAsia" w:cs="宋体"/>
          <w:b/>
          <w:color w:val="000000" w:themeColor="text1"/>
          <w:sz w:val="24"/>
          <w:szCs w:val="24"/>
        </w:rPr>
        <w:br w:type="page"/>
      </w:r>
    </w:p>
    <w:p>
      <w:pPr>
        <w:pStyle w:val="2"/>
        <w:ind w:firstLine="482"/>
        <w:rPr>
          <w:rFonts w:cs="宋体"/>
          <w:b/>
          <w:color w:val="000000" w:themeColor="text1"/>
          <w:sz w:val="24"/>
          <w:szCs w:val="24"/>
        </w:rPr>
      </w:pPr>
      <w:r>
        <w:rPr>
          <w:rFonts w:hint="eastAsia" w:cs="宋体"/>
          <w:b/>
          <w:color w:val="000000" w:themeColor="text1"/>
          <w:sz w:val="24"/>
          <w:szCs w:val="24"/>
        </w:rPr>
        <w:t>分包二：</w:t>
      </w:r>
    </w:p>
    <w:tbl>
      <w:tblPr>
        <w:tblStyle w:val="45"/>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959"/>
        <w:gridCol w:w="1125"/>
        <w:gridCol w:w="6406"/>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blHeader/>
          <w:jc w:val="center"/>
        </w:trPr>
        <w:tc>
          <w:tcPr>
            <w:tcW w:w="618"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themeColor="text1"/>
                <w:sz w:val="24"/>
                <w:szCs w:val="24"/>
              </w:rPr>
            </w:pPr>
            <w:r>
              <w:rPr>
                <w:rFonts w:hint="eastAsia" w:ascii="宋体" w:hAnsi="宋体" w:cs="宋体"/>
                <w:b/>
                <w:color w:val="000000" w:themeColor="text1"/>
                <w:kern w:val="0"/>
                <w:sz w:val="24"/>
                <w:szCs w:val="24"/>
              </w:rPr>
              <w:t>序号</w:t>
            </w:r>
          </w:p>
        </w:tc>
        <w:tc>
          <w:tcPr>
            <w:tcW w:w="959"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themeColor="text1"/>
                <w:sz w:val="24"/>
                <w:szCs w:val="24"/>
              </w:rPr>
            </w:pPr>
            <w:r>
              <w:rPr>
                <w:rFonts w:hint="eastAsia" w:ascii="宋体" w:hAnsi="宋体" w:cs="宋体"/>
                <w:b/>
                <w:color w:val="000000" w:themeColor="text1"/>
                <w:kern w:val="0"/>
                <w:sz w:val="24"/>
                <w:szCs w:val="24"/>
              </w:rPr>
              <w:t>评审因素</w:t>
            </w:r>
          </w:p>
        </w:tc>
        <w:tc>
          <w:tcPr>
            <w:tcW w:w="7531" w:type="dxa"/>
            <w:gridSpan w:val="2"/>
            <w:shd w:val="clear" w:color="auto" w:fill="FFFFFF"/>
            <w:tcMar>
              <w:top w:w="15" w:type="dxa"/>
              <w:left w:w="15" w:type="dxa"/>
              <w:right w:w="15" w:type="dxa"/>
            </w:tcMar>
            <w:vAlign w:val="center"/>
          </w:tcPr>
          <w:p>
            <w:pPr>
              <w:widowControl/>
              <w:jc w:val="center"/>
              <w:textAlignment w:val="center"/>
              <w:rPr>
                <w:rFonts w:ascii="宋体" w:hAnsi="宋体" w:cs="宋体"/>
                <w:b/>
                <w:color w:val="000000" w:themeColor="text1"/>
                <w:sz w:val="24"/>
                <w:szCs w:val="24"/>
              </w:rPr>
            </w:pPr>
            <w:r>
              <w:rPr>
                <w:rFonts w:hint="eastAsia" w:ascii="宋体" w:hAnsi="宋体" w:cs="宋体"/>
                <w:b/>
                <w:color w:val="000000" w:themeColor="text1"/>
                <w:kern w:val="0"/>
                <w:sz w:val="24"/>
                <w:szCs w:val="24"/>
              </w:rPr>
              <w:t>评分标准说明</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
                <w:color w:val="000000" w:themeColor="text1"/>
                <w:sz w:val="24"/>
                <w:szCs w:val="24"/>
              </w:rPr>
            </w:pPr>
            <w:r>
              <w:rPr>
                <w:rFonts w:hint="eastAsia" w:ascii="宋体" w:hAnsi="宋体" w:cs="宋体"/>
                <w:b/>
                <w:color w:val="000000" w:themeColor="text1"/>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618"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1</w:t>
            </w:r>
          </w:p>
        </w:tc>
        <w:tc>
          <w:tcPr>
            <w:tcW w:w="959"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价格部分</w:t>
            </w:r>
          </w:p>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（50分）</w:t>
            </w:r>
          </w:p>
        </w:tc>
        <w:tc>
          <w:tcPr>
            <w:tcW w:w="7531" w:type="dxa"/>
            <w:gridSpan w:val="2"/>
            <w:vMerge w:val="restart"/>
            <w:shd w:val="clear" w:color="auto" w:fill="FFFFFF"/>
            <w:tcMar>
              <w:top w:w="15" w:type="dxa"/>
              <w:left w:w="15" w:type="dxa"/>
              <w:right w:w="15" w:type="dxa"/>
            </w:tcMar>
            <w:vAlign w:val="center"/>
          </w:tcPr>
          <w:p>
            <w:pPr>
              <w:pStyle w:val="40"/>
              <w:spacing w:before="0" w:beforeAutospacing="0" w:after="0" w:afterAutospacing="0"/>
              <w:ind w:firstLine="480" w:firstLineChars="200"/>
              <w:jc w:val="both"/>
              <w:rPr>
                <w:bCs/>
                <w:color w:val="000000" w:themeColor="text1"/>
              </w:rPr>
            </w:pPr>
            <w:r>
              <w:rPr>
                <w:rFonts w:hint="eastAsia"/>
                <w:bCs/>
                <w:color w:val="000000" w:themeColor="text1"/>
              </w:rPr>
              <w:t>采用低价优先法计算，即满足招标文件要求且投标报价最低的投标报价为评标基准价，其价格为满分50分，其他投标人的报价统一按照下列公式计算：投标报价得分 = (评标基准价/投标报价)×50，计算分数时四舍五入取小数点后两位。</w:t>
            </w:r>
          </w:p>
        </w:tc>
        <w:tc>
          <w:tcPr>
            <w:tcW w:w="770"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8"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c>
          <w:tcPr>
            <w:tcW w:w="959"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c>
          <w:tcPr>
            <w:tcW w:w="7531" w:type="dxa"/>
            <w:gridSpan w:val="2"/>
            <w:vMerge w:val="continue"/>
            <w:shd w:val="clear" w:color="auto" w:fill="FFFFFF"/>
            <w:tcMar>
              <w:top w:w="15" w:type="dxa"/>
              <w:left w:w="15" w:type="dxa"/>
              <w:right w:w="15" w:type="dxa"/>
            </w:tcMar>
            <w:vAlign w:val="center"/>
          </w:tcPr>
          <w:p>
            <w:pPr>
              <w:rPr>
                <w:rFonts w:ascii="宋体" w:hAnsi="宋体" w:cs="宋体"/>
                <w:bCs/>
                <w:color w:val="000000" w:themeColor="text1"/>
                <w:sz w:val="24"/>
                <w:szCs w:val="24"/>
              </w:rPr>
            </w:pPr>
          </w:p>
        </w:tc>
        <w:tc>
          <w:tcPr>
            <w:tcW w:w="770"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618"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2</w:t>
            </w:r>
          </w:p>
        </w:tc>
        <w:tc>
          <w:tcPr>
            <w:tcW w:w="959"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技术部分</w:t>
            </w:r>
          </w:p>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(32分)</w:t>
            </w:r>
          </w:p>
        </w:tc>
        <w:tc>
          <w:tcPr>
            <w:tcW w:w="1125" w:type="dxa"/>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r>
              <w:rPr>
                <w:rFonts w:hint="eastAsia" w:ascii="宋体" w:hAnsi="宋体" w:cs="宋体"/>
                <w:bCs/>
                <w:color w:val="000000" w:themeColor="text1"/>
                <w:sz w:val="24"/>
                <w:szCs w:val="24"/>
              </w:rPr>
              <w:t>方案</w:t>
            </w:r>
          </w:p>
        </w:tc>
        <w:tc>
          <w:tcPr>
            <w:tcW w:w="6406" w:type="dxa"/>
            <w:shd w:val="clear" w:color="auto" w:fill="FFFFFF"/>
            <w:tcMar>
              <w:top w:w="15" w:type="dxa"/>
              <w:left w:w="15" w:type="dxa"/>
              <w:right w:w="15"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1.投标人根据对项目的整体理解和把握，结合学校的实际情况，提供学校网络安全学院建设整体方案。包括：目标、中长期规划、进度安排、组织架构、人员配备、工具配备、项目管理计划等。</w:t>
            </w:r>
          </w:p>
          <w:p>
            <w:pPr>
              <w:rPr>
                <w:rFonts w:ascii="宋体" w:hAnsi="宋体" w:cs="宋体"/>
                <w:color w:val="000000" w:themeColor="text1"/>
                <w:sz w:val="24"/>
                <w:szCs w:val="24"/>
              </w:rPr>
            </w:pPr>
            <w:r>
              <w:rPr>
                <w:rFonts w:hint="eastAsia" w:ascii="宋体" w:hAnsi="宋体" w:cs="宋体"/>
                <w:color w:val="000000" w:themeColor="text1"/>
                <w:sz w:val="24"/>
                <w:szCs w:val="24"/>
              </w:rPr>
              <w:t>2.投标人根据“4.7 配套服务”所列要求，提出高于招标要求的服务方案。包括：师资培训、专业群建设、招生、学生就业、认证体系、社会培训、课程资源库及开发、大学生竞赛等内容。</w:t>
            </w:r>
          </w:p>
          <w:p>
            <w:pPr>
              <w:rPr>
                <w:rFonts w:ascii="宋体" w:hAnsi="宋体" w:cs="宋体"/>
                <w:color w:val="000000" w:themeColor="text1"/>
                <w:sz w:val="24"/>
                <w:szCs w:val="24"/>
              </w:rPr>
            </w:pPr>
            <w:r>
              <w:rPr>
                <w:rFonts w:hint="eastAsia" w:ascii="宋体" w:hAnsi="宋体" w:cs="宋体"/>
                <w:color w:val="000000" w:themeColor="text1"/>
                <w:sz w:val="24"/>
                <w:szCs w:val="24"/>
              </w:rPr>
              <w:t>3.技术方案。实验室实验平台架构特色技术方案。</w:t>
            </w:r>
          </w:p>
          <w:p>
            <w:pPr>
              <w:rPr>
                <w:rFonts w:ascii="宋体" w:hAnsi="宋体" w:cs="宋体"/>
                <w:color w:val="000000" w:themeColor="text1"/>
                <w:sz w:val="24"/>
                <w:szCs w:val="24"/>
              </w:rPr>
            </w:pPr>
            <w:r>
              <w:rPr>
                <w:rFonts w:hint="eastAsia" w:ascii="宋体" w:hAnsi="宋体" w:cs="宋体"/>
                <w:color w:val="000000" w:themeColor="text1"/>
                <w:sz w:val="24"/>
                <w:szCs w:val="24"/>
              </w:rPr>
              <w:t>评委会根据投标人提供的方案酌情评0-8 分，不提供的不参与本项评分。</w:t>
            </w:r>
          </w:p>
        </w:tc>
        <w:tc>
          <w:tcPr>
            <w:tcW w:w="770" w:type="dxa"/>
            <w:shd w:val="clear" w:color="auto" w:fill="FFFFFF"/>
            <w:tcMar>
              <w:top w:w="15" w:type="dxa"/>
              <w:left w:w="15" w:type="dxa"/>
              <w:right w:w="15" w:type="dxa"/>
            </w:tcMar>
            <w:vAlign w:val="center"/>
          </w:tcPr>
          <w:p>
            <w:pPr>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18"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p>
        </w:tc>
        <w:tc>
          <w:tcPr>
            <w:tcW w:w="959"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p>
        </w:tc>
        <w:tc>
          <w:tcPr>
            <w:tcW w:w="1125" w:type="dxa"/>
            <w:shd w:val="clear" w:color="auto" w:fill="FFFFFF"/>
            <w:tcMar>
              <w:top w:w="15" w:type="dxa"/>
              <w:left w:w="15" w:type="dxa"/>
              <w:right w:w="15" w:type="dxa"/>
            </w:tcMar>
            <w:vAlign w:val="center"/>
          </w:tcPr>
          <w:p>
            <w:pPr>
              <w:jc w:val="center"/>
              <w:rPr>
                <w:rFonts w:ascii="宋体" w:hAnsi="宋体" w:cs="宋体"/>
                <w:color w:val="000000" w:themeColor="text1"/>
                <w:sz w:val="24"/>
                <w:szCs w:val="24"/>
              </w:rPr>
            </w:pPr>
            <w:r>
              <w:rPr>
                <w:rFonts w:hint="eastAsia" w:ascii="宋体" w:hAnsi="宋体" w:cs="宋体"/>
                <w:bCs/>
                <w:color w:val="000000" w:themeColor="text1"/>
                <w:kern w:val="44"/>
                <w:sz w:val="24"/>
                <w:szCs w:val="24"/>
              </w:rPr>
              <w:t>技术响应</w:t>
            </w:r>
          </w:p>
        </w:tc>
        <w:tc>
          <w:tcPr>
            <w:tcW w:w="6406" w:type="dxa"/>
            <w:shd w:val="clear" w:color="auto" w:fill="FFFFFF"/>
            <w:tcMar>
              <w:top w:w="15" w:type="dxa"/>
              <w:left w:w="15" w:type="dxa"/>
              <w:right w:w="15"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1.投标人所投所有产品技术参数完全满足招标文件第四章4.2分包二 “技术规格、参数及服务要求”中标注“★”技术参数要求的得10分。</w:t>
            </w:r>
          </w:p>
          <w:p>
            <w:pPr>
              <w:rPr>
                <w:rFonts w:ascii="宋体" w:hAnsi="宋体" w:cs="宋体"/>
                <w:color w:val="000000" w:themeColor="text1"/>
                <w:sz w:val="24"/>
                <w:szCs w:val="24"/>
              </w:rPr>
            </w:pPr>
            <w:r>
              <w:rPr>
                <w:rFonts w:hint="eastAsia" w:ascii="宋体" w:hAnsi="宋体" w:cs="宋体"/>
                <w:color w:val="000000" w:themeColor="text1"/>
                <w:sz w:val="24"/>
                <w:szCs w:val="24"/>
              </w:rPr>
              <w:t>2.投标人所投所有产品技术参数与招标文件第四章4.2分包二 “技术规格、参数及服务要求”中标注“</w:t>
            </w:r>
            <w:r>
              <w:rPr>
                <w:rFonts w:hint="eastAsia" w:ascii="宋体" w:hAnsi="宋体" w:cs="宋体"/>
                <w:b/>
                <w:color w:val="000000" w:themeColor="text1"/>
                <w:kern w:val="0"/>
                <w:sz w:val="24"/>
                <w:szCs w:val="24"/>
              </w:rPr>
              <w:t>▲</w:t>
            </w:r>
            <w:r>
              <w:rPr>
                <w:rFonts w:hint="eastAsia" w:ascii="宋体" w:hAnsi="宋体" w:cs="宋体"/>
                <w:color w:val="000000" w:themeColor="text1"/>
                <w:sz w:val="24"/>
                <w:szCs w:val="24"/>
              </w:rPr>
              <w:t>”技术参数要求相比较，每有一项负偏离的扣1分。本项最多扣5分。</w:t>
            </w:r>
          </w:p>
          <w:p>
            <w:pPr>
              <w:rPr>
                <w:rFonts w:ascii="宋体" w:hAnsi="宋体" w:cs="宋体"/>
                <w:color w:val="000000" w:themeColor="text1"/>
                <w:sz w:val="24"/>
                <w:szCs w:val="24"/>
              </w:rPr>
            </w:pPr>
            <w:r>
              <w:rPr>
                <w:rFonts w:hint="eastAsia" w:ascii="宋体" w:hAnsi="宋体" w:cs="宋体"/>
                <w:color w:val="000000" w:themeColor="text1"/>
                <w:sz w:val="24"/>
                <w:szCs w:val="24"/>
              </w:rPr>
              <w:t>3.投标人所投所有产品技术参数与招标文件第四章4.2分包二 “技术规格、参数及服务要求”中未标注“★”与“</w:t>
            </w:r>
            <w:r>
              <w:rPr>
                <w:rFonts w:hint="eastAsia" w:ascii="宋体" w:hAnsi="宋体" w:cs="宋体"/>
                <w:b/>
                <w:color w:val="000000" w:themeColor="text1"/>
                <w:kern w:val="0"/>
                <w:sz w:val="24"/>
                <w:szCs w:val="24"/>
              </w:rPr>
              <w:t>▲</w:t>
            </w:r>
            <w:r>
              <w:rPr>
                <w:rFonts w:hint="eastAsia" w:ascii="宋体" w:hAnsi="宋体" w:cs="宋体"/>
                <w:color w:val="000000" w:themeColor="text1"/>
                <w:sz w:val="24"/>
                <w:szCs w:val="24"/>
              </w:rPr>
              <w:t>”技术参数要求相比较，每有一项负偏离的扣0.5分，本项最多扣5分。</w:t>
            </w:r>
          </w:p>
        </w:tc>
        <w:tc>
          <w:tcPr>
            <w:tcW w:w="770" w:type="dxa"/>
            <w:shd w:val="clear" w:color="auto" w:fill="FFFFFF"/>
            <w:tcMar>
              <w:top w:w="15" w:type="dxa"/>
              <w:left w:w="15" w:type="dxa"/>
              <w:right w:w="15" w:type="dxa"/>
            </w:tcMar>
            <w:vAlign w:val="center"/>
          </w:tcPr>
          <w:p>
            <w:pPr>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jc w:val="center"/>
        </w:trPr>
        <w:tc>
          <w:tcPr>
            <w:tcW w:w="618"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p>
        </w:tc>
        <w:tc>
          <w:tcPr>
            <w:tcW w:w="959"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p>
        </w:tc>
        <w:tc>
          <w:tcPr>
            <w:tcW w:w="1125" w:type="dxa"/>
            <w:shd w:val="clear" w:color="auto" w:fill="FFFFFF"/>
            <w:tcMar>
              <w:top w:w="15" w:type="dxa"/>
              <w:left w:w="15" w:type="dxa"/>
              <w:right w:w="15" w:type="dxa"/>
            </w:tcMar>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演示</w:t>
            </w:r>
          </w:p>
        </w:tc>
        <w:tc>
          <w:tcPr>
            <w:tcW w:w="6406" w:type="dxa"/>
            <w:shd w:val="clear" w:color="auto" w:fill="FFFFFF"/>
            <w:tcMar>
              <w:top w:w="15" w:type="dxa"/>
              <w:left w:w="15" w:type="dxa"/>
              <w:right w:w="15" w:type="dxa"/>
            </w:tcMar>
            <w:vAlign w:val="center"/>
          </w:tcPr>
          <w:p>
            <w:pPr>
              <w:rPr>
                <w:rFonts w:ascii="宋体" w:hAnsi="宋体" w:cs="宋体"/>
                <w:color w:val="000000" w:themeColor="text1"/>
                <w:sz w:val="24"/>
                <w:szCs w:val="24"/>
              </w:rPr>
            </w:pPr>
            <w:r>
              <w:rPr>
                <w:rFonts w:hint="eastAsia" w:ascii="宋体" w:hAnsi="宋体" w:cs="宋体"/>
                <w:color w:val="000000" w:themeColor="text1"/>
                <w:kern w:val="0"/>
                <w:sz w:val="24"/>
                <w:szCs w:val="24"/>
              </w:rPr>
              <w:t>1.标</w:t>
            </w:r>
            <w:r>
              <w:rPr>
                <w:rFonts w:hint="eastAsia" w:ascii="宋体" w:hAnsi="宋体" w:cs="宋体"/>
                <w:b/>
                <w:color w:val="000000" w:themeColor="text1"/>
                <w:kern w:val="0"/>
                <w:sz w:val="24"/>
                <w:szCs w:val="24"/>
              </w:rPr>
              <w:t>☆</w:t>
            </w:r>
            <w:r>
              <w:rPr>
                <w:rFonts w:hint="eastAsia" w:ascii="宋体" w:hAnsi="宋体" w:cs="宋体"/>
                <w:color w:val="000000" w:themeColor="text1"/>
                <w:sz w:val="24"/>
                <w:szCs w:val="24"/>
              </w:rPr>
              <w:t>参数功能演示。评委根据每项情况综合打分，每项参数功能演示。评委会根据投标人演示情况酌情评0-4 分。</w:t>
            </w:r>
          </w:p>
          <w:p>
            <w:pPr>
              <w:rPr>
                <w:rFonts w:ascii="宋体" w:hAnsi="宋体" w:cs="宋体"/>
                <w:color w:val="000000" w:themeColor="text1"/>
                <w:sz w:val="24"/>
                <w:szCs w:val="24"/>
              </w:rPr>
            </w:pPr>
            <w:r>
              <w:rPr>
                <w:rFonts w:hint="eastAsia" w:ascii="宋体" w:hAnsi="宋体" w:cs="宋体"/>
                <w:color w:val="000000" w:themeColor="text1"/>
                <w:kern w:val="0"/>
                <w:sz w:val="24"/>
                <w:szCs w:val="24"/>
              </w:rPr>
              <w:t>2.装潢效果图演示。投标人根据招标文件中的数据中心、四个实验室平面图并至现场勘察，演示设计的效果图，并对施工图及设计方案作说明。</w:t>
            </w:r>
            <w:r>
              <w:rPr>
                <w:rFonts w:hint="eastAsia" w:ascii="宋体" w:hAnsi="宋体" w:cs="宋体"/>
                <w:color w:val="000000" w:themeColor="text1"/>
                <w:sz w:val="24"/>
                <w:szCs w:val="24"/>
              </w:rPr>
              <w:t>评委会根据设计图纸及投标人演示情况酌情评0-2 分。</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618"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p>
        </w:tc>
        <w:tc>
          <w:tcPr>
            <w:tcW w:w="959"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p>
        </w:tc>
        <w:tc>
          <w:tcPr>
            <w:tcW w:w="1125" w:type="dxa"/>
            <w:shd w:val="clear" w:color="auto" w:fill="FFFFFF"/>
            <w:tcMar>
              <w:top w:w="15" w:type="dxa"/>
              <w:left w:w="15" w:type="dxa"/>
              <w:right w:w="15" w:type="dxa"/>
            </w:tcMar>
            <w:vAlign w:val="center"/>
          </w:tcPr>
          <w:p>
            <w:pPr>
              <w:tabs>
                <w:tab w:val="left" w:pos="540"/>
              </w:tabs>
              <w:jc w:val="center"/>
              <w:rPr>
                <w:rFonts w:ascii="宋体" w:hAnsi="宋体" w:cs="宋体"/>
                <w:bCs/>
                <w:color w:val="000000" w:themeColor="text1"/>
                <w:sz w:val="24"/>
                <w:szCs w:val="24"/>
              </w:rPr>
            </w:pPr>
            <w:r>
              <w:rPr>
                <w:rFonts w:hint="eastAsia" w:ascii="宋体" w:hAnsi="宋体" w:cs="宋体"/>
                <w:bCs/>
                <w:color w:val="000000" w:themeColor="text1"/>
                <w:kern w:val="44"/>
                <w:sz w:val="24"/>
                <w:szCs w:val="24"/>
              </w:rPr>
              <w:t>品牌</w:t>
            </w:r>
          </w:p>
        </w:tc>
        <w:tc>
          <w:tcPr>
            <w:tcW w:w="6406" w:type="dxa"/>
            <w:shd w:val="clear" w:color="auto" w:fill="FFFFFF"/>
            <w:tcMar>
              <w:top w:w="15" w:type="dxa"/>
              <w:left w:w="15" w:type="dxa"/>
              <w:right w:w="15" w:type="dxa"/>
            </w:tcMar>
            <w:vAlign w:val="center"/>
          </w:tcPr>
          <w:p>
            <w:pPr>
              <w:rPr>
                <w:rFonts w:ascii="宋体" w:hAnsi="宋体" w:cs="宋体"/>
                <w:color w:val="000000" w:themeColor="text1"/>
                <w:sz w:val="24"/>
                <w:szCs w:val="24"/>
              </w:rPr>
            </w:pPr>
            <w:r>
              <w:rPr>
                <w:rFonts w:hint="eastAsia" w:ascii="宋体" w:hAnsi="宋体" w:cs="宋体"/>
                <w:color w:val="000000" w:themeColor="text1"/>
                <w:kern w:val="0"/>
                <w:sz w:val="24"/>
                <w:szCs w:val="24"/>
              </w:rPr>
              <w:t>投标人以书面方式承诺中标后授予校方挂牌校企合作产业学院，期限不少于5年。</w:t>
            </w:r>
            <w:r>
              <w:rPr>
                <w:rFonts w:hint="eastAsia" w:ascii="宋体" w:hAnsi="宋体" w:cs="宋体"/>
                <w:color w:val="000000" w:themeColor="text1"/>
                <w:sz w:val="24"/>
                <w:szCs w:val="24"/>
              </w:rPr>
              <w:t>评委会</w:t>
            </w:r>
            <w:r>
              <w:rPr>
                <w:rFonts w:hint="eastAsia" w:ascii="宋体" w:hAnsi="宋体" w:cs="宋体"/>
                <w:color w:val="000000" w:themeColor="text1"/>
                <w:kern w:val="0"/>
                <w:sz w:val="24"/>
                <w:szCs w:val="24"/>
              </w:rPr>
              <w:t>结合品牌价值证明资料</w:t>
            </w:r>
            <w:r>
              <w:rPr>
                <w:rFonts w:hint="eastAsia" w:ascii="宋体" w:hAnsi="宋体" w:cs="宋体"/>
                <w:color w:val="000000" w:themeColor="text1"/>
                <w:sz w:val="24"/>
                <w:szCs w:val="24"/>
              </w:rPr>
              <w:t>酌情评0-8 分。</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18"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3</w:t>
            </w:r>
          </w:p>
        </w:tc>
        <w:tc>
          <w:tcPr>
            <w:tcW w:w="959"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商务资信部分</w:t>
            </w:r>
          </w:p>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0"/>
                <w:sz w:val="24"/>
                <w:szCs w:val="24"/>
              </w:rPr>
              <w:t>（18分）</w:t>
            </w:r>
          </w:p>
        </w:tc>
        <w:tc>
          <w:tcPr>
            <w:tcW w:w="1125"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44"/>
                <w:sz w:val="24"/>
                <w:szCs w:val="24"/>
              </w:rPr>
              <w:t>资质</w:t>
            </w:r>
          </w:p>
        </w:tc>
        <w:tc>
          <w:tcPr>
            <w:tcW w:w="6406" w:type="dxa"/>
            <w:shd w:val="clear" w:color="auto" w:fill="FFFFFF"/>
            <w:tcMar>
              <w:top w:w="15" w:type="dxa"/>
              <w:left w:w="15" w:type="dxa"/>
              <w:right w:w="15" w:type="dxa"/>
            </w:tcMar>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投标人拥有以下任一资质证明得1分，本项评分上限为4分：</w:t>
            </w:r>
          </w:p>
          <w:p>
            <w:pPr>
              <w:ind w:left="13" w:leftChars="6"/>
              <w:rPr>
                <w:rFonts w:ascii="宋体" w:hAnsi="宋体" w:cs="宋体"/>
                <w:b/>
                <w:color w:val="000000" w:themeColor="text1"/>
                <w:sz w:val="24"/>
                <w:szCs w:val="24"/>
              </w:rPr>
            </w:pPr>
            <w:r>
              <w:rPr>
                <w:rFonts w:hint="eastAsia" w:ascii="宋体" w:hAnsi="宋体" w:cs="宋体"/>
                <w:color w:val="000000" w:themeColor="text1"/>
                <w:sz w:val="24"/>
                <w:szCs w:val="24"/>
              </w:rPr>
              <w:t>中国信息安全测评中心颁发的CISP授权培训机构证书、NISP国家信息安全水平考试授权运营中心资质证书、教育部颁发的产学合作协同育人项目合作伙伴奖证书、建有安全技术国家工程实验室、公安部颁发的护网或重大活动网络安全技术支持单位、中国反网络病毒联盟颁发的白名单甲级单位资质、中国互联网网络安全威胁治理联盟成员单位、CNVD国家漏洞库技术组成员单位、CNNVD国家信息安全漏洞库技术支撑单位；中国反网络病毒联盟成员单位、中国云服务联盟成员单位。</w:t>
            </w:r>
            <w:r>
              <w:rPr>
                <w:rFonts w:hint="eastAsia" w:ascii="宋体" w:hAnsi="宋体" w:cs="宋体"/>
                <w:b/>
                <w:color w:val="000000" w:themeColor="text1"/>
                <w:kern w:val="0"/>
                <w:sz w:val="24"/>
                <w:szCs w:val="24"/>
              </w:rPr>
              <w:t>（提供相关证明材料并加盖投标人公章，无相关证明不得分）</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618"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c>
          <w:tcPr>
            <w:tcW w:w="959"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c>
          <w:tcPr>
            <w:tcW w:w="1125"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kern w:val="44"/>
                <w:sz w:val="24"/>
                <w:szCs w:val="24"/>
              </w:rPr>
              <w:t>案例</w:t>
            </w:r>
          </w:p>
        </w:tc>
        <w:tc>
          <w:tcPr>
            <w:tcW w:w="6406" w:type="dxa"/>
            <w:shd w:val="clear" w:color="auto" w:fill="FFFFFF"/>
            <w:tcMar>
              <w:top w:w="15" w:type="dxa"/>
              <w:left w:w="15" w:type="dxa"/>
              <w:right w:w="15" w:type="dxa"/>
            </w:tcMar>
            <w:vAlign w:val="center"/>
          </w:tcPr>
          <w:p>
            <w:pPr>
              <w:ind w:left="13" w:leftChars="6"/>
              <w:rPr>
                <w:rFonts w:ascii="宋体" w:hAnsi="宋体" w:cs="宋体"/>
                <w:color w:val="000000" w:themeColor="text1"/>
                <w:sz w:val="24"/>
                <w:szCs w:val="24"/>
              </w:rPr>
            </w:pPr>
            <w:r>
              <w:rPr>
                <w:rFonts w:hint="eastAsia" w:ascii="宋体" w:hAnsi="宋体" w:cs="宋体"/>
                <w:color w:val="000000" w:themeColor="text1"/>
                <w:sz w:val="24"/>
                <w:szCs w:val="24"/>
              </w:rPr>
              <w:t>投标人提供自2016年11月1日以来，已签订网络安全实验室建设或网络安全工程项目合同，每提供一个单体合同总额650万元以上合同得2分，单体合同总额1300万元以上合同得4分，不提供不得分。</w:t>
            </w:r>
            <w:r>
              <w:rPr>
                <w:rFonts w:hint="eastAsia" w:ascii="宋体" w:hAnsi="宋体" w:cs="宋体"/>
                <w:color w:val="000000" w:themeColor="text1"/>
                <w:kern w:val="0"/>
                <w:sz w:val="24"/>
                <w:szCs w:val="24"/>
              </w:rPr>
              <w:t>本项评分上限为4分。</w:t>
            </w:r>
          </w:p>
          <w:p>
            <w:pPr>
              <w:rPr>
                <w:rFonts w:ascii="宋体" w:hAnsi="宋体" w:cs="宋体"/>
                <w:color w:val="000000" w:themeColor="text1"/>
                <w:sz w:val="24"/>
                <w:szCs w:val="24"/>
              </w:rPr>
            </w:pPr>
            <w:r>
              <w:rPr>
                <w:rFonts w:hint="eastAsia" w:ascii="宋体" w:hAnsi="宋体" w:cs="宋体"/>
                <w:b/>
                <w:color w:val="000000" w:themeColor="text1"/>
                <w:kern w:val="0"/>
                <w:sz w:val="24"/>
                <w:szCs w:val="24"/>
              </w:rPr>
              <w:t>（提供相关证明材料并加盖投标人公章，无相关证明不得分）</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618"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c>
          <w:tcPr>
            <w:tcW w:w="959" w:type="dxa"/>
            <w:vMerge w:val="continue"/>
            <w:shd w:val="clear" w:color="auto" w:fill="FFFFFF"/>
            <w:tcMar>
              <w:top w:w="15" w:type="dxa"/>
              <w:left w:w="15" w:type="dxa"/>
              <w:right w:w="15" w:type="dxa"/>
            </w:tcMar>
            <w:vAlign w:val="center"/>
          </w:tcPr>
          <w:p>
            <w:pPr>
              <w:jc w:val="center"/>
              <w:rPr>
                <w:rFonts w:ascii="宋体" w:hAnsi="宋体" w:cs="宋体"/>
                <w:bCs/>
                <w:color w:val="000000" w:themeColor="text1"/>
                <w:sz w:val="24"/>
                <w:szCs w:val="24"/>
              </w:rPr>
            </w:pPr>
          </w:p>
        </w:tc>
        <w:tc>
          <w:tcPr>
            <w:tcW w:w="1125"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color w:val="000000" w:themeColor="text1"/>
                <w:kern w:val="0"/>
                <w:sz w:val="24"/>
                <w:szCs w:val="24"/>
              </w:rPr>
              <w:t>升级维护</w:t>
            </w:r>
          </w:p>
        </w:tc>
        <w:tc>
          <w:tcPr>
            <w:tcW w:w="6406" w:type="dxa"/>
            <w:shd w:val="clear" w:color="auto" w:fill="FFFFFF"/>
            <w:tcMar>
              <w:top w:w="15" w:type="dxa"/>
              <w:left w:w="15" w:type="dxa"/>
              <w:right w:w="15" w:type="dxa"/>
            </w:tcMar>
            <w:vAlign w:val="center"/>
          </w:tcPr>
          <w:p>
            <w:pPr>
              <w:ind w:left="13" w:leftChars="6"/>
              <w:rPr>
                <w:rFonts w:ascii="宋体" w:hAnsi="宋体" w:cs="宋体"/>
                <w:color w:val="000000" w:themeColor="text1"/>
                <w:sz w:val="24"/>
                <w:szCs w:val="24"/>
              </w:rPr>
            </w:pPr>
            <w:r>
              <w:rPr>
                <w:rFonts w:hint="eastAsia" w:ascii="宋体" w:hAnsi="宋体" w:cs="宋体"/>
                <w:color w:val="000000" w:themeColor="text1"/>
                <w:sz w:val="24"/>
                <w:szCs w:val="24"/>
              </w:rPr>
              <w:t>投标人针对本项目所采购的实验实训平台必须提供3年的免费升级与所投产品3年的整体质保服务，在此基础上：每增加一年免费升级服务得1分，每增加一年整体质保服务得1分。</w:t>
            </w:r>
            <w:r>
              <w:rPr>
                <w:rFonts w:hint="eastAsia" w:ascii="宋体" w:hAnsi="宋体" w:cs="宋体"/>
                <w:color w:val="000000" w:themeColor="text1"/>
                <w:kern w:val="0"/>
                <w:sz w:val="24"/>
                <w:szCs w:val="24"/>
              </w:rPr>
              <w:t>本项评分上限为4分。</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618"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p>
        </w:tc>
        <w:tc>
          <w:tcPr>
            <w:tcW w:w="959" w:type="dxa"/>
            <w:vMerge w:val="continue"/>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p>
        </w:tc>
        <w:tc>
          <w:tcPr>
            <w:tcW w:w="1125"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color w:val="000000" w:themeColor="text1"/>
                <w:kern w:val="0"/>
                <w:sz w:val="24"/>
                <w:szCs w:val="24"/>
              </w:rPr>
              <w:t>专业教学</w:t>
            </w:r>
          </w:p>
        </w:tc>
        <w:tc>
          <w:tcPr>
            <w:tcW w:w="6406" w:type="dxa"/>
            <w:shd w:val="clear" w:color="auto" w:fill="FFFFFF"/>
            <w:tcMar>
              <w:top w:w="15" w:type="dxa"/>
              <w:left w:w="15" w:type="dxa"/>
              <w:right w:w="15" w:type="dxa"/>
            </w:tcMar>
            <w:vAlign w:val="center"/>
          </w:tcPr>
          <w:p>
            <w:pPr>
              <w:rPr>
                <w:rFonts w:ascii="宋体" w:hAnsi="宋体" w:cs="宋体"/>
                <w:color w:val="000000" w:themeColor="text1"/>
                <w:sz w:val="24"/>
                <w:szCs w:val="24"/>
              </w:rPr>
            </w:pPr>
            <w:r>
              <w:rPr>
                <w:rFonts w:hint="eastAsia" w:ascii="宋体" w:hAnsi="宋体" w:cs="宋体"/>
                <w:color w:val="000000" w:themeColor="text1"/>
                <w:kern w:val="0"/>
                <w:sz w:val="24"/>
                <w:szCs w:val="24"/>
              </w:rPr>
              <w:t>投标人自2019年（秋）第一学期起必须提供不少于40门专业理论与实践教学服务、不少于2人2年驻校，在此基础上：每增加8门专业专业理论与实践教学服务和1人1年驻校得2分。本项评分上限为6分。</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Cs/>
                <w:color w:val="000000" w:themeColor="text1"/>
                <w:sz w:val="24"/>
                <w:szCs w:val="24"/>
              </w:rPr>
            </w:pPr>
            <w:r>
              <w:rPr>
                <w:rFonts w:hint="eastAsia" w:ascii="宋体" w:hAnsi="宋体" w:cs="宋体"/>
                <w:bCs/>
                <w:color w:val="000000" w:themeColor="text1"/>
                <w:sz w:val="24"/>
                <w:szCs w:val="24"/>
              </w:rPr>
              <w:t>6</w:t>
            </w:r>
          </w:p>
        </w:tc>
      </w:tr>
    </w:tbl>
    <w:p>
      <w:pPr>
        <w:tabs>
          <w:tab w:val="left" w:pos="540"/>
        </w:tabs>
        <w:rPr>
          <w:rFonts w:ascii="宋体" w:hAnsi="宋体" w:cs="宋体"/>
          <w:b/>
          <w:bCs/>
          <w:color w:val="000000" w:themeColor="text1"/>
          <w:kern w:val="44"/>
        </w:rPr>
      </w:pPr>
      <w:r>
        <w:rPr>
          <w:rFonts w:hint="eastAsia" w:ascii="宋体" w:hAnsi="宋体" w:cs="宋体"/>
          <w:b/>
          <w:bCs/>
          <w:color w:val="000000" w:themeColor="text1"/>
          <w:kern w:val="44"/>
        </w:rPr>
        <w:t>说明：</w:t>
      </w:r>
    </w:p>
    <w:p>
      <w:pPr>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1、资质、合同等材料因复印件不清及合同复印件价格被遮挡所引起的后果由投标人自行负责。</w:t>
      </w:r>
    </w:p>
    <w:p>
      <w:pPr>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2、加★ 为实质性响应项，负偏离或只满足部分的，按无效投标处理。</w:t>
      </w:r>
    </w:p>
    <w:p>
      <w:pPr>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3、技术响应分低于5分的，不得列为中标候选人。</w:t>
      </w:r>
    </w:p>
    <w:p>
      <w:pPr>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4、演示环节现场只提供电源接口，其余所有演示设备及网络等均由各投标人自行准备，演示时长不得超过20分钟。</w:t>
      </w:r>
    </w:p>
    <w:p>
      <w:pPr>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5、若供应商提供虚假资料，一经查实取消其中标候选人资格，并向相关主管部门汇报。</w:t>
      </w:r>
    </w:p>
    <w:p>
      <w:pPr>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6、中标人不得转包、分包，如果发现有转包、分包情况，则取消其中标候选人资格，并向相关主管部门汇报。</w:t>
      </w:r>
    </w:p>
    <w:p>
      <w:pPr>
        <w:rPr>
          <w:rFonts w:ascii="宋体" w:hAnsi="宋体" w:cs="宋体"/>
          <w:color w:val="000000" w:themeColor="text1"/>
        </w:rPr>
      </w:pPr>
    </w:p>
    <w:p>
      <w:pPr>
        <w:pStyle w:val="2"/>
        <w:rPr>
          <w:rFonts w:cs="宋体"/>
          <w:color w:val="000000" w:themeColor="text1"/>
        </w:rPr>
      </w:pPr>
    </w:p>
    <w:p>
      <w:pPr>
        <w:pStyle w:val="2"/>
        <w:rPr>
          <w:rFonts w:cs="宋体"/>
          <w:color w:val="000000" w:themeColor="text1"/>
        </w:rPr>
      </w:pPr>
    </w:p>
    <w:p>
      <w:pPr>
        <w:pStyle w:val="4"/>
        <w:rPr>
          <w:rFonts w:ascii="宋体" w:hAnsi="宋体" w:eastAsia="宋体" w:cs="宋体"/>
          <w:bCs/>
          <w:color w:val="000000" w:themeColor="text1"/>
          <w:sz w:val="44"/>
        </w:rPr>
      </w:pPr>
      <w:r>
        <w:rPr>
          <w:rFonts w:hint="eastAsia" w:ascii="宋体" w:hAnsi="宋体" w:eastAsia="宋体" w:cs="宋体"/>
          <w:bCs/>
          <w:color w:val="000000" w:themeColor="text1"/>
          <w:sz w:val="44"/>
        </w:rPr>
        <w:br w:type="page"/>
      </w:r>
      <w:bookmarkStart w:id="188" w:name="_Toc18481239"/>
      <w:r>
        <w:rPr>
          <w:rFonts w:hint="eastAsia" w:ascii="宋体" w:hAnsi="宋体" w:eastAsia="宋体" w:cs="宋体"/>
          <w:b/>
          <w:color w:val="000000" w:themeColor="text1"/>
          <w:sz w:val="44"/>
          <w:szCs w:val="44"/>
        </w:rPr>
        <w:t>第六章  投标</w:t>
      </w:r>
      <w:bookmarkEnd w:id="166"/>
      <w:bookmarkEnd w:id="167"/>
      <w:bookmarkEnd w:id="168"/>
      <w:r>
        <w:rPr>
          <w:rFonts w:hint="eastAsia" w:ascii="宋体" w:hAnsi="宋体" w:eastAsia="宋体" w:cs="宋体"/>
          <w:b/>
          <w:color w:val="000000" w:themeColor="text1"/>
          <w:sz w:val="44"/>
          <w:szCs w:val="44"/>
        </w:rPr>
        <w:t>文件格式</w:t>
      </w:r>
      <w:bookmarkEnd w:id="188"/>
    </w:p>
    <w:p>
      <w:pPr>
        <w:jc w:val="right"/>
        <w:rPr>
          <w:rFonts w:ascii="宋体" w:hAnsi="宋体" w:cs="宋体"/>
          <w:b/>
          <w:color w:val="000000" w:themeColor="text1"/>
          <w:sz w:val="36"/>
        </w:rPr>
      </w:pPr>
      <w:bookmarkStart w:id="189" w:name="_Hlt26955039"/>
      <w:bookmarkEnd w:id="189"/>
      <w:bookmarkStart w:id="190" w:name="_Hlt26671244"/>
      <w:bookmarkEnd w:id="190"/>
      <w:bookmarkStart w:id="191" w:name="_Toc26554094"/>
      <w:bookmarkStart w:id="192" w:name="_Toc49090576"/>
      <w:bookmarkStart w:id="193" w:name="_Toc120614282"/>
    </w:p>
    <w:p>
      <w:pPr>
        <w:jc w:val="right"/>
        <w:rPr>
          <w:rFonts w:ascii="宋体" w:hAnsi="宋体" w:cs="宋体"/>
          <w:b/>
          <w:color w:val="000000" w:themeColor="text1"/>
          <w:sz w:val="72"/>
        </w:rPr>
      </w:pPr>
      <w:r>
        <w:rPr>
          <w:rFonts w:hint="eastAsia" w:ascii="宋体" w:hAnsi="宋体" w:cs="宋体"/>
          <w:b/>
          <w:color w:val="000000" w:themeColor="text1"/>
          <w:sz w:val="36"/>
        </w:rPr>
        <w:t>（正或副本）</w:t>
      </w:r>
    </w:p>
    <w:p>
      <w:pPr>
        <w:jc w:val="center"/>
        <w:rPr>
          <w:rFonts w:ascii="宋体" w:hAnsi="宋体" w:cs="宋体"/>
          <w:b/>
          <w:color w:val="000000" w:themeColor="text1"/>
          <w:sz w:val="72"/>
        </w:rPr>
      </w:pPr>
    </w:p>
    <w:p>
      <w:pPr>
        <w:jc w:val="center"/>
        <w:rPr>
          <w:rFonts w:ascii="宋体" w:hAnsi="宋体" w:cs="宋体"/>
          <w:b/>
          <w:color w:val="000000" w:themeColor="text1"/>
          <w:sz w:val="72"/>
        </w:rPr>
      </w:pPr>
      <w:r>
        <w:rPr>
          <w:rFonts w:hint="eastAsia" w:ascii="宋体" w:hAnsi="宋体" w:cs="宋体"/>
          <w:b/>
          <w:color w:val="000000" w:themeColor="text1"/>
          <w:sz w:val="72"/>
        </w:rPr>
        <w:t>投  标  文  件</w:t>
      </w:r>
    </w:p>
    <w:p>
      <w:pPr>
        <w:ind w:firstLine="1084" w:firstLineChars="300"/>
        <w:jc w:val="center"/>
        <w:rPr>
          <w:rFonts w:ascii="宋体" w:hAnsi="宋体" w:cs="宋体"/>
          <w:b/>
          <w:color w:val="000000" w:themeColor="text1"/>
          <w:sz w:val="36"/>
        </w:rPr>
      </w:pPr>
    </w:p>
    <w:p>
      <w:pPr>
        <w:jc w:val="center"/>
        <w:rPr>
          <w:rFonts w:ascii="宋体" w:hAnsi="宋体" w:cs="宋体"/>
          <w:b/>
          <w:color w:val="000000" w:themeColor="text1"/>
          <w:sz w:val="44"/>
          <w:szCs w:val="44"/>
        </w:rPr>
      </w:pPr>
      <w:r>
        <w:rPr>
          <w:rFonts w:hint="eastAsia" w:ascii="宋体" w:hAnsi="宋体" w:cs="宋体"/>
          <w:b/>
          <w:color w:val="000000" w:themeColor="text1"/>
          <w:sz w:val="44"/>
          <w:szCs w:val="44"/>
        </w:rPr>
        <w:t>（分包</w:t>
      </w:r>
      <w:r>
        <w:rPr>
          <w:rFonts w:hint="eastAsia" w:hAnsi="宋体" w:cs="宋体"/>
          <w:color w:val="000000" w:themeColor="text1"/>
          <w:sz w:val="24"/>
          <w:szCs w:val="24"/>
          <w:u w:val="single"/>
        </w:rPr>
        <w:t xml:space="preserve">    </w:t>
      </w:r>
      <w:r>
        <w:rPr>
          <w:rFonts w:hint="eastAsia" w:ascii="宋体" w:hAnsi="宋体" w:cs="宋体"/>
          <w:b/>
          <w:color w:val="000000" w:themeColor="text1"/>
          <w:sz w:val="44"/>
          <w:szCs w:val="44"/>
        </w:rPr>
        <w:t>）</w:t>
      </w: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right="1865" w:rightChars="888" w:firstLine="1084" w:firstLineChars="300"/>
        <w:rPr>
          <w:rFonts w:ascii="宋体" w:hAnsi="宋体" w:cs="宋体"/>
          <w:b/>
          <w:color w:val="000000" w:themeColor="text1"/>
          <w:sz w:val="36"/>
        </w:rPr>
      </w:pPr>
      <w:r>
        <w:rPr>
          <w:rFonts w:hint="eastAsia" w:ascii="宋体" w:hAnsi="宋体" w:cs="宋体"/>
          <w:b/>
          <w:color w:val="000000" w:themeColor="text1"/>
          <w:sz w:val="36"/>
        </w:rPr>
        <w:t>项 目 名 称：</w:t>
      </w:r>
    </w:p>
    <w:p>
      <w:pPr>
        <w:ind w:right="1865" w:rightChars="888" w:firstLine="1084" w:firstLineChars="300"/>
        <w:rPr>
          <w:rFonts w:ascii="宋体" w:hAnsi="宋体" w:cs="宋体"/>
          <w:b/>
          <w:color w:val="000000" w:themeColor="text1"/>
          <w:sz w:val="36"/>
          <w:u w:val="single"/>
        </w:rPr>
      </w:pPr>
      <w:r>
        <w:rPr>
          <w:rFonts w:hint="eastAsia" w:ascii="宋体" w:hAnsi="宋体" w:cs="宋体"/>
          <w:b/>
          <w:color w:val="000000" w:themeColor="text1"/>
          <w:sz w:val="36"/>
        </w:rPr>
        <w:t>招 标 编 号：</w:t>
      </w:r>
    </w:p>
    <w:p>
      <w:pPr>
        <w:ind w:right="1865" w:rightChars="888"/>
        <w:rPr>
          <w:rFonts w:ascii="宋体" w:hAnsi="宋体" w:cs="宋体"/>
          <w:b/>
          <w:color w:val="000000" w:themeColor="text1"/>
          <w:sz w:val="36"/>
          <w:u w:val="single"/>
        </w:rPr>
      </w:pPr>
      <w:r>
        <w:rPr>
          <w:rFonts w:hint="eastAsia" w:ascii="宋体" w:hAnsi="宋体" w:cs="宋体"/>
          <w:b/>
          <w:color w:val="000000" w:themeColor="text1"/>
          <w:sz w:val="36"/>
        </w:rPr>
        <w:t xml:space="preserve">      投标人名称 ：</w:t>
      </w:r>
    </w:p>
    <w:p>
      <w:pPr>
        <w:ind w:right="1865" w:rightChars="888"/>
        <w:rPr>
          <w:rFonts w:ascii="宋体" w:hAnsi="宋体" w:cs="宋体"/>
          <w:b/>
          <w:color w:val="000000" w:themeColor="text1"/>
          <w:sz w:val="36"/>
        </w:rPr>
      </w:pPr>
      <w:r>
        <w:rPr>
          <w:rFonts w:hint="eastAsia" w:ascii="宋体" w:hAnsi="宋体" w:cs="宋体"/>
          <w:b/>
          <w:color w:val="000000" w:themeColor="text1"/>
          <w:sz w:val="36"/>
        </w:rPr>
        <w:t xml:space="preserve">      日      期 ：</w:t>
      </w:r>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0"/>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60"/>
              <w:shd w:val="clear" w:color="auto" w:fill="FFFFFF"/>
              <w:spacing w:line="265" w:lineRule="atLeast"/>
              <w:ind w:left="420"/>
              <w:jc w:val="both"/>
              <w:rPr>
                <w:rFonts w:ascii="宋体" w:hAnsi="宋体" w:cs="宋体"/>
                <w:b/>
                <w:color w:val="000000" w:themeColor="text1"/>
                <w:lang w:eastAsia="zh-CN"/>
              </w:rPr>
            </w:pPr>
          </w:p>
        </w:tc>
        <w:tc>
          <w:tcPr>
            <w:tcW w:w="3570" w:type="dxa"/>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60"/>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60"/>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60"/>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0"/>
              <w:shd w:val="clear" w:color="auto" w:fill="FFFFFF"/>
              <w:spacing w:line="265" w:lineRule="atLeast"/>
              <w:ind w:left="420"/>
              <w:rPr>
                <w:rFonts w:ascii="宋体" w:hAnsi="宋体" w:cs="宋体"/>
                <w:b/>
                <w:bCs/>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0"/>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0"/>
              <w:shd w:val="clear" w:color="auto" w:fill="FFFFFF"/>
              <w:spacing w:line="265" w:lineRule="atLeast"/>
              <w:ind w:left="420"/>
              <w:rPr>
                <w:rFonts w:ascii="宋体" w:hAnsi="宋体" w:cs="宋体"/>
                <w:b/>
                <w:bCs/>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60"/>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60"/>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60"/>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tcPr>
          <w:p>
            <w:pPr>
              <w:rPr>
                <w:rFonts w:ascii="宋体" w:hAnsi="宋体" w:cs="宋体"/>
                <w:color w:val="000000" w:themeColor="text1"/>
              </w:rPr>
            </w:pPr>
          </w:p>
        </w:tc>
      </w:tr>
    </w:tbl>
    <w:p>
      <w:pPr>
        <w:rPr>
          <w:rFonts w:ascii="宋体" w:hAnsi="宋体" w:cs="宋体"/>
          <w:color w:val="000000" w:themeColor="text1"/>
        </w:rPr>
      </w:pPr>
    </w:p>
    <w:p>
      <w:pPr>
        <w:jc w:val="center"/>
        <w:rPr>
          <w:rFonts w:ascii="宋体" w:hAnsi="宋体" w:cs="宋体"/>
          <w:b/>
          <w:bCs/>
          <w:color w:val="000000" w:themeColor="text1"/>
          <w:sz w:val="32"/>
          <w:szCs w:val="32"/>
        </w:rPr>
      </w:pPr>
      <w:r>
        <w:rPr>
          <w:rFonts w:hint="eastAsia" w:ascii="宋体" w:hAnsi="宋体" w:cs="宋体"/>
          <w:b/>
          <w:color w:val="000000" w:themeColor="text1"/>
          <w:sz w:val="36"/>
          <w:u w:val="single"/>
        </w:rPr>
        <w:br w:type="page"/>
      </w:r>
      <w:r>
        <w:rPr>
          <w:rFonts w:hint="eastAsia" w:ascii="宋体" w:hAnsi="宋体" w:cs="宋体"/>
          <w:b/>
          <w:bCs/>
          <w:color w:val="000000" w:themeColor="text1"/>
          <w:sz w:val="32"/>
          <w:szCs w:val="32"/>
        </w:rPr>
        <w:t>投标主要文件目录</w:t>
      </w:r>
    </w:p>
    <w:p>
      <w:pPr>
        <w:spacing w:line="440" w:lineRule="exact"/>
        <w:jc w:val="center"/>
        <w:rPr>
          <w:rFonts w:ascii="宋体" w:hAnsi="宋体" w:cs="宋体"/>
          <w:b/>
          <w:bCs/>
          <w:color w:val="000000" w:themeColor="text1"/>
          <w:sz w:val="32"/>
          <w:szCs w:val="32"/>
        </w:rPr>
      </w:pPr>
    </w:p>
    <w:p>
      <w:pPr>
        <w:pStyle w:val="2"/>
        <w:ind w:firstLine="562"/>
        <w:rPr>
          <w:b/>
          <w:color w:val="000000" w:themeColor="text1"/>
          <w:sz w:val="28"/>
          <w:szCs w:val="28"/>
        </w:rPr>
      </w:pPr>
      <w:r>
        <w:rPr>
          <w:rFonts w:hint="eastAsia"/>
          <w:b/>
          <w:color w:val="000000" w:themeColor="text1"/>
          <w:sz w:val="28"/>
          <w:szCs w:val="28"/>
        </w:rPr>
        <w:t>分包一：</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p>
    <w:p>
      <w:pPr>
        <w:ind w:firstLine="482" w:firstLineChars="200"/>
        <w:rPr>
          <w:rFonts w:ascii="宋体" w:hAnsi="宋体" w:cs="宋体"/>
          <w:color w:val="000000" w:themeColor="text1"/>
          <w:sz w:val="24"/>
        </w:rPr>
      </w:pPr>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p>
    <w:p>
      <w:pPr>
        <w:ind w:firstLine="480" w:firstLineChars="200"/>
        <w:rPr>
          <w:rFonts w:ascii="宋体" w:hAnsi="宋体" w:cs="宋体"/>
          <w:bCs/>
          <w:color w:val="000000" w:themeColor="text1"/>
          <w:sz w:val="24"/>
        </w:rPr>
      </w:pPr>
      <w:r>
        <w:rPr>
          <w:rFonts w:hint="eastAsia" w:ascii="宋体" w:hAnsi="宋体" w:cs="宋体"/>
          <w:color w:val="000000" w:themeColor="text1"/>
          <w:sz w:val="24"/>
        </w:rPr>
        <w:t>三、符合性检查响应对照表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四、投标函</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六、投标配置与分项报价表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八、商务条款响应及偏离表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九、服务承诺（分包一）</w:t>
      </w:r>
    </w:p>
    <w:p>
      <w:pPr>
        <w:pStyle w:val="2"/>
        <w:ind w:firstLine="562"/>
        <w:rPr>
          <w:b/>
          <w:color w:val="000000" w:themeColor="text1"/>
          <w:sz w:val="28"/>
          <w:szCs w:val="28"/>
        </w:rPr>
      </w:pPr>
      <w:r>
        <w:rPr>
          <w:rFonts w:hint="eastAsia"/>
          <w:b/>
          <w:color w:val="000000" w:themeColor="text1"/>
          <w:sz w:val="28"/>
          <w:szCs w:val="28"/>
        </w:rPr>
        <w:t>分包二：</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p>
    <w:p>
      <w:pPr>
        <w:ind w:firstLine="482" w:firstLineChars="200"/>
        <w:rPr>
          <w:rFonts w:ascii="宋体" w:hAnsi="宋体" w:cs="宋体"/>
          <w:color w:val="000000" w:themeColor="text1"/>
          <w:sz w:val="24"/>
        </w:rPr>
      </w:pPr>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p>
    <w:p>
      <w:pPr>
        <w:ind w:firstLine="480" w:firstLineChars="200"/>
        <w:rPr>
          <w:rFonts w:ascii="宋体" w:hAnsi="宋体" w:cs="宋体"/>
          <w:bCs/>
          <w:color w:val="000000" w:themeColor="text1"/>
          <w:sz w:val="24"/>
        </w:rPr>
      </w:pPr>
      <w:r>
        <w:rPr>
          <w:rFonts w:hint="eastAsia" w:ascii="宋体" w:hAnsi="宋体" w:cs="宋体"/>
          <w:color w:val="000000" w:themeColor="text1"/>
          <w:sz w:val="24"/>
        </w:rPr>
        <w:t>三、符合性检查响应对照表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四、投标函</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六、投标配置与分项报价表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八、商务条款响应及偏离表</w:t>
      </w:r>
    </w:p>
    <w:p>
      <w:pPr>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highlight w:val="yellow"/>
        </w:rPr>
        <w:t>九、品牌使用承诺书</w:t>
      </w:r>
    </w:p>
    <w:p>
      <w:pPr>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十、服务承诺（分包二）</w:t>
      </w:r>
    </w:p>
    <w:p>
      <w:pPr>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十一、方案</w:t>
      </w:r>
    </w:p>
    <w:p>
      <w:pPr>
        <w:snapToGrid w:val="0"/>
        <w:spacing w:before="50" w:after="50"/>
        <w:jc w:val="center"/>
        <w:rPr>
          <w:rFonts w:ascii="宋体" w:hAnsi="宋体" w:cs="宋体"/>
          <w:b/>
          <w:bCs/>
          <w:color w:val="000000" w:themeColor="text1"/>
          <w:sz w:val="32"/>
          <w:szCs w:val="32"/>
        </w:rPr>
      </w:pPr>
      <w:r>
        <w:rPr>
          <w:rFonts w:hint="eastAsia" w:ascii="宋体" w:hAnsi="宋体" w:cs="宋体"/>
          <w:color w:val="000000" w:themeColor="text1"/>
          <w:sz w:val="24"/>
        </w:rPr>
        <w:br w:type="page"/>
      </w: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p>
    <w:p>
      <w:pPr>
        <w:snapToGrid w:val="0"/>
        <w:spacing w:before="50" w:after="50"/>
        <w:rPr>
          <w:rFonts w:ascii="宋体" w:hAnsi="宋体" w:cs="宋体"/>
          <w:i/>
          <w:color w:val="000000" w:themeColor="text1"/>
          <w:szCs w:val="24"/>
          <w:u w:val="single"/>
        </w:rPr>
      </w:pPr>
    </w:p>
    <w:p>
      <w:pPr>
        <w:snapToGrid w:val="0"/>
        <w:spacing w:before="50" w:after="5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ind w:firstLine="480" w:firstLineChars="200"/>
        <w:rPr>
          <w:rFonts w:ascii="宋体" w:hAnsi="宋体" w:cs="宋体"/>
          <w:color w:val="000000" w:themeColor="text1"/>
          <w:sz w:val="24"/>
        </w:rPr>
      </w:pPr>
      <w:r>
        <w:rPr>
          <w:rFonts w:hint="eastAsia" w:ascii="宋体" w:hAnsi="宋体" w:cs="宋体"/>
          <w:color w:val="000000" w:themeColor="text1"/>
          <w:sz w:val="24"/>
          <w:szCs w:val="24"/>
        </w:rPr>
        <w:t xml:space="preserve">文件1  </w:t>
      </w:r>
      <w:r>
        <w:rPr>
          <w:rFonts w:hint="eastAsia" w:ascii="宋体" w:hAnsi="宋体" w:cs="宋体"/>
          <w:color w:val="000000" w:themeColor="text1"/>
          <w:sz w:val="24"/>
        </w:rPr>
        <w:t>法人或者其他组织的营业执照等证明文件，自然人的身份证明（复印件）</w:t>
      </w:r>
    </w:p>
    <w:p>
      <w:pPr>
        <w:snapToGrid w:val="0"/>
        <w:spacing w:before="50" w:afterLines="50"/>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w:t>
      </w:r>
      <w:r>
        <w:rPr>
          <w:rFonts w:hint="eastAsia" w:ascii="宋体" w:hAnsi="宋体" w:cs="宋体"/>
          <w:color w:val="000000" w:themeColor="text1"/>
          <w:sz w:val="24"/>
        </w:rPr>
        <w:t>财务状况报告（复印件，成立不满一年不需提供）</w:t>
      </w:r>
    </w:p>
    <w:p>
      <w:pPr>
        <w:snapToGrid w:val="0"/>
        <w:ind w:firstLine="480" w:firstLineChars="200"/>
        <w:rPr>
          <w:rFonts w:ascii="宋体" w:hAnsi="宋体" w:cs="宋体"/>
          <w:color w:val="000000" w:themeColor="text1"/>
          <w:sz w:val="24"/>
        </w:rPr>
      </w:pPr>
      <w:r>
        <w:rPr>
          <w:rFonts w:hint="eastAsia" w:ascii="宋体" w:hAnsi="宋体" w:cs="宋体"/>
          <w:color w:val="000000" w:themeColor="text1"/>
          <w:sz w:val="24"/>
          <w:szCs w:val="24"/>
        </w:rPr>
        <w:t xml:space="preserve">文件3  </w:t>
      </w:r>
      <w:r>
        <w:rPr>
          <w:rFonts w:hint="eastAsia" w:ascii="宋体" w:hAnsi="宋体" w:cs="宋体"/>
          <w:color w:val="000000" w:themeColor="text1"/>
          <w:sz w:val="24"/>
        </w:rPr>
        <w:t>依法缴纳税收和社会保障资金的相关材料（复印件）</w:t>
      </w:r>
    </w:p>
    <w:p>
      <w:pPr>
        <w:snapToGrid w:val="0"/>
        <w:spacing w:before="50" w:afterLines="50"/>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文件4  </w:t>
      </w:r>
      <w:r>
        <w:rPr>
          <w:rFonts w:hint="eastAsia" w:ascii="宋体" w:hAnsi="宋体" w:cs="宋体"/>
          <w:color w:val="000000" w:themeColor="text1"/>
          <w:sz w:val="24"/>
        </w:rPr>
        <w:t>具备履行合同所必需的设备和专业技术能力</w:t>
      </w:r>
      <w:r>
        <w:rPr>
          <w:rFonts w:hint="eastAsia" w:ascii="宋体" w:hAnsi="宋体" w:cs="宋体"/>
          <w:color w:val="000000" w:themeColor="text1"/>
          <w:sz w:val="24"/>
          <w:szCs w:val="24"/>
        </w:rPr>
        <w:t>证明材料</w:t>
      </w:r>
    </w:p>
    <w:p>
      <w:pPr>
        <w:snapToGrid w:val="0"/>
        <w:ind w:firstLine="480" w:firstLineChars="200"/>
        <w:rPr>
          <w:rFonts w:ascii="宋体" w:hAnsi="宋体" w:cs="宋体"/>
          <w:color w:val="000000" w:themeColor="text1"/>
          <w:sz w:val="24"/>
        </w:rPr>
      </w:pPr>
      <w:r>
        <w:rPr>
          <w:rFonts w:hint="eastAsia" w:ascii="宋体" w:hAnsi="宋体" w:cs="宋体"/>
          <w:color w:val="000000" w:themeColor="text1"/>
          <w:sz w:val="24"/>
          <w:szCs w:val="24"/>
        </w:rPr>
        <w:t xml:space="preserve">文件5 </w:t>
      </w:r>
      <w:r>
        <w:rPr>
          <w:rFonts w:hint="eastAsia" w:ascii="宋体" w:hAnsi="宋体" w:cs="宋体"/>
          <w:color w:val="000000" w:themeColor="text1"/>
          <w:sz w:val="24"/>
        </w:rPr>
        <w:t>参加政府采购活动前 3 年内在经营活动中没有重大违法记录的书面声明</w:t>
      </w:r>
    </w:p>
    <w:p>
      <w:pPr>
        <w:snapToGrid w:val="0"/>
        <w:spacing w:before="50" w:afterLines="50"/>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rPr>
        <w:t>文件6 法人授权书</w:t>
      </w:r>
    </w:p>
    <w:p>
      <w:pPr>
        <w:snapToGrid w:val="0"/>
        <w:spacing w:before="50" w:afterLines="50"/>
        <w:ind w:left="239" w:leftChars="114" w:firstLine="240" w:firstLineChars="100"/>
        <w:jc w:val="left"/>
        <w:rPr>
          <w:rFonts w:ascii="宋体" w:hAnsi="宋体" w:cs="宋体"/>
          <w:color w:val="000000" w:themeColor="text1"/>
          <w:sz w:val="24"/>
        </w:rPr>
      </w:pPr>
      <w:r>
        <w:rPr>
          <w:rFonts w:hint="eastAsia" w:ascii="宋体" w:hAnsi="宋体" w:cs="宋体"/>
          <w:color w:val="000000" w:themeColor="text1"/>
          <w:sz w:val="24"/>
          <w:szCs w:val="24"/>
        </w:rPr>
        <w:t>文件</w:t>
      </w:r>
      <w:r>
        <w:rPr>
          <w:rFonts w:hint="eastAsia" w:ascii="宋体" w:hAnsi="宋体" w:cs="宋体"/>
          <w:color w:val="000000" w:themeColor="text1"/>
          <w:szCs w:val="24"/>
        </w:rPr>
        <w:t xml:space="preserve">7  </w:t>
      </w:r>
      <w:r>
        <w:rPr>
          <w:rFonts w:hint="eastAsia" w:ascii="宋体" w:hAnsi="宋体" w:cs="宋体"/>
          <w:color w:val="000000" w:themeColor="text1"/>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7"/>
        <w:jc w:val="center"/>
        <w:rPr>
          <w:rFonts w:ascii="宋体" w:hAnsi="宋体" w:cs="宋体"/>
          <w:b w:val="0"/>
          <w:bCs w:val="0"/>
          <w:color w:val="000000" w:themeColor="text1"/>
          <w:sz w:val="30"/>
          <w:szCs w:val="30"/>
        </w:rPr>
      </w:pPr>
      <w:r>
        <w:rPr>
          <w:rFonts w:hint="eastAsia" w:ascii="宋体" w:hAnsi="宋体" w:cs="宋体"/>
          <w:color w:val="000000" w:themeColor="text1"/>
          <w:sz w:val="24"/>
          <w:szCs w:val="24"/>
        </w:rPr>
        <w:t>具备履行合同所必需的设备和专业技术能力的书面声明</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主要设备有：</w:t>
      </w:r>
      <w:r>
        <w:rPr>
          <w:rFonts w:hint="eastAsia" w:hAnsi="宋体" w:cs="宋体"/>
          <w:color w:val="000000" w:themeColor="text1"/>
          <w:sz w:val="24"/>
          <w:szCs w:val="24"/>
          <w:u w:val="single"/>
        </w:rPr>
        <w:t xml:space="preserve">     </w:t>
      </w:r>
      <w:r>
        <w:rPr>
          <w:rFonts w:hint="eastAsia" w:ascii="宋体" w:hAnsi="宋体" w:cs="宋体"/>
          <w:bCs/>
          <w:color w:val="000000" w:themeColor="text1"/>
          <w:sz w:val="24"/>
        </w:rPr>
        <w:t>。</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主要专业技术能力有：</w:t>
      </w:r>
      <w:r>
        <w:rPr>
          <w:rFonts w:hint="eastAsia" w:hAnsi="宋体" w:cs="宋体"/>
          <w:color w:val="000000" w:themeColor="text1"/>
          <w:sz w:val="24"/>
          <w:szCs w:val="24"/>
          <w:u w:val="single"/>
        </w:rPr>
        <w:t xml:space="preserve">     </w:t>
      </w:r>
      <w:r>
        <w:rPr>
          <w:rFonts w:hint="eastAsia" w:ascii="宋体" w:hAnsi="宋体" w:cs="宋体"/>
          <w:bCs/>
          <w:color w:val="000000" w:themeColor="text1"/>
          <w:sz w:val="24"/>
        </w:rPr>
        <w:t>。</w:t>
      </w:r>
    </w:p>
    <w:p>
      <w:pPr>
        <w:spacing w:line="460" w:lineRule="exact"/>
        <w:ind w:firstLine="492"/>
        <w:rPr>
          <w:rFonts w:ascii="宋体" w:hAnsi="宋体" w:cs="宋体"/>
          <w:bCs/>
          <w:color w:val="000000" w:themeColor="text1"/>
          <w:sz w:val="24"/>
        </w:rPr>
      </w:pPr>
    </w:p>
    <w:p>
      <w:pPr>
        <w:spacing w:line="460" w:lineRule="exact"/>
        <w:ind w:firstLine="492"/>
        <w:rPr>
          <w:rFonts w:ascii="宋体" w:hAnsi="宋体" w:cs="宋体"/>
          <w:bCs/>
          <w:color w:val="000000" w:themeColor="text1"/>
          <w:sz w:val="24"/>
        </w:rPr>
      </w:pPr>
    </w:p>
    <w:p>
      <w:pPr>
        <w:spacing w:line="460" w:lineRule="exact"/>
        <w:ind w:firstLine="492"/>
        <w:rPr>
          <w:rFonts w:ascii="宋体" w:hAnsi="宋体" w:cs="宋体"/>
          <w:bCs/>
          <w:color w:val="000000" w:themeColor="text1"/>
          <w:sz w:val="24"/>
        </w:rPr>
      </w:pP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供应商名称（公章）：</w:t>
      </w: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日期：  年  月  日</w:t>
      </w:r>
    </w:p>
    <w:p>
      <w:pPr>
        <w:pStyle w:val="7"/>
        <w:jc w:val="center"/>
        <w:rPr>
          <w:rFonts w:ascii="宋体" w:hAnsi="宋体" w:cs="宋体"/>
          <w:color w:val="000000" w:themeColor="text1"/>
          <w:sz w:val="24"/>
          <w:szCs w:val="24"/>
        </w:rPr>
      </w:pPr>
      <w:r>
        <w:rPr>
          <w:rFonts w:hint="eastAsia" w:ascii="宋体" w:hAnsi="宋体" w:cs="宋体"/>
          <w:color w:val="000000" w:themeColor="text1"/>
        </w:rPr>
        <w:br w:type="page"/>
      </w:r>
      <w:r>
        <w:rPr>
          <w:rFonts w:hint="eastAsia" w:ascii="宋体" w:hAnsi="宋体" w:cs="宋体"/>
          <w:color w:val="000000" w:themeColor="text1"/>
          <w:sz w:val="24"/>
          <w:szCs w:val="24"/>
        </w:rPr>
        <w:t>参加政府采购活动前 3 年内在经营活动中没有重大违法记录的书面声明</w:t>
      </w:r>
    </w:p>
    <w:p>
      <w:pPr>
        <w:rPr>
          <w:color w:val="000000" w:themeColor="text1"/>
        </w:rPr>
      </w:pPr>
    </w:p>
    <w:p>
      <w:pPr>
        <w:spacing w:line="460" w:lineRule="exact"/>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供应商名称（公章）：</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授权代表签字：</w:t>
      </w:r>
      <w:r>
        <w:rPr>
          <w:rFonts w:hint="eastAsia" w:ascii="宋体" w:hAnsi="宋体" w:cs="宋体"/>
          <w:bCs/>
          <w:color w:val="000000" w:themeColor="text1"/>
          <w:sz w:val="24"/>
          <w:u w:val="single"/>
        </w:rPr>
        <w:t>_______________________</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日期：年月日</w:t>
      </w: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3"/>
        <w:rPr>
          <w:rFonts w:ascii="宋体" w:hAnsi="宋体" w:cs="宋体"/>
          <w:color w:val="000000" w:themeColor="text1"/>
        </w:rPr>
      </w:pPr>
    </w:p>
    <w:p>
      <w:pPr>
        <w:pStyle w:val="53"/>
        <w:rPr>
          <w:rFonts w:ascii="宋体" w:hAnsi="宋体" w:cs="宋体"/>
          <w:color w:val="000000" w:themeColor="text1"/>
        </w:rPr>
      </w:pPr>
    </w:p>
    <w:p>
      <w:pPr>
        <w:pStyle w:val="53"/>
        <w:rPr>
          <w:rFonts w:ascii="宋体" w:hAnsi="宋体" w:cs="宋体"/>
          <w:color w:val="000000" w:themeColor="text1"/>
        </w:rPr>
      </w:pPr>
    </w:p>
    <w:p>
      <w:pPr>
        <w:pStyle w:val="53"/>
        <w:rPr>
          <w:rFonts w:ascii="宋体" w:hAnsi="宋体" w:cs="宋体"/>
          <w:color w:val="000000" w:themeColor="text1"/>
        </w:rPr>
      </w:pPr>
    </w:p>
    <w:p>
      <w:pPr>
        <w:spacing w:line="460" w:lineRule="exact"/>
        <w:rPr>
          <w:rFonts w:ascii="宋体" w:hAnsi="宋体" w:cs="宋体"/>
          <w:bCs/>
          <w:color w:val="000000" w:themeColor="text1"/>
          <w:sz w:val="24"/>
        </w:rPr>
      </w:pPr>
    </w:p>
    <w:p>
      <w:pPr>
        <w:pStyle w:val="7"/>
        <w:jc w:val="center"/>
        <w:rPr>
          <w:rFonts w:ascii="宋体" w:hAnsi="宋体" w:cs="宋体"/>
          <w:color w:val="000000" w:themeColor="text1"/>
          <w:sz w:val="24"/>
          <w:szCs w:val="24"/>
        </w:rPr>
      </w:pPr>
      <w:r>
        <w:rPr>
          <w:rFonts w:hint="eastAsia" w:ascii="宋体" w:hAnsi="宋体" w:cs="宋体"/>
          <w:color w:val="000000" w:themeColor="text1"/>
          <w:sz w:val="24"/>
          <w:szCs w:val="24"/>
        </w:rPr>
        <w:t>法人授权书</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b/>
          <w:color w:val="000000" w:themeColor="text1"/>
          <w:sz w:val="24"/>
          <w:szCs w:val="24"/>
          <w:u w:val="single"/>
        </w:rPr>
        <w:t>2019-026S-2</w:t>
      </w:r>
      <w:r>
        <w:rPr>
          <w:rFonts w:hint="eastAsia" w:ascii="宋体" w:hAnsi="宋体" w:cs="宋体"/>
          <w:color w:val="000000" w:themeColor="text1"/>
          <w:sz w:val="24"/>
          <w:szCs w:val="24"/>
        </w:rPr>
        <w:t>项目采购活动的合法代理人，以本公司名义全权处理一切与该项目采购有关的事务。</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8"/>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代理人签字（被授权人）：_______________________</w:t>
      </w:r>
    </w:p>
    <w:p>
      <w:pPr>
        <w:pStyle w:val="88"/>
        <w:ind w:firstLine="0" w:firstLineChars="0"/>
        <w:rPr>
          <w:rFonts w:ascii="宋体" w:hAnsi="宋体" w:cs="宋体"/>
          <w:color w:val="000000" w:themeColor="text1"/>
          <w:sz w:val="24"/>
          <w:szCs w:val="24"/>
        </w:rPr>
      </w:pPr>
    </w:p>
    <w:p>
      <w:pPr>
        <w:pStyle w:val="88"/>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8"/>
        <w:ind w:firstLine="480"/>
        <w:rPr>
          <w:rFonts w:ascii="宋体" w:hAnsi="宋体" w:cs="宋体"/>
          <w:color w:val="000000" w:themeColor="text1"/>
          <w:sz w:val="24"/>
          <w:szCs w:val="24"/>
        </w:rPr>
      </w:pPr>
    </w:p>
    <w:p>
      <w:pPr>
        <w:pStyle w:val="88"/>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8"/>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7"/>
        <w:rPr>
          <w:rFonts w:ascii="宋体" w:hAnsi="宋体" w:cs="宋体"/>
          <w:color w:val="000000" w:themeColor="text1"/>
        </w:rPr>
      </w:pPr>
      <w:bookmarkStart w:id="194" w:name="_格式3__银行出具的资信证明"/>
      <w:bookmarkEnd w:id="194"/>
      <w:bookmarkStart w:id="195" w:name="_Hlt26955070"/>
      <w:bookmarkEnd w:id="195"/>
      <w:bookmarkStart w:id="196" w:name="_Hlt26671380"/>
      <w:bookmarkEnd w:id="196"/>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napToGrid w:val="0"/>
        <w:spacing w:before="50" w:after="50"/>
        <w:jc w:val="center"/>
        <w:rPr>
          <w:rFonts w:ascii="宋体" w:hAnsi="宋体" w:cs="宋体"/>
          <w:color w:val="000000" w:themeColor="text1"/>
          <w:sz w:val="32"/>
          <w:szCs w:val="32"/>
        </w:rPr>
      </w:pPr>
      <w:r>
        <w:rPr>
          <w:rFonts w:hint="eastAsia" w:ascii="宋体" w:hAnsi="宋体" w:cs="宋体"/>
          <w:b/>
          <w:color w:val="000000" w:themeColor="text1"/>
          <w:sz w:val="32"/>
          <w:szCs w:val="32"/>
        </w:rPr>
        <w:br w:type="page"/>
      </w:r>
      <w:r>
        <w:rPr>
          <w:rFonts w:hint="eastAsia" w:ascii="宋体" w:hAnsi="宋体" w:cs="宋体"/>
          <w:color w:val="000000" w:themeColor="text1"/>
          <w:sz w:val="32"/>
          <w:szCs w:val="32"/>
        </w:rPr>
        <w:t>二、资格性审查响应对照表（格式）</w:t>
      </w:r>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b/>
                <w:color w:val="000000" w:themeColor="text1"/>
              </w:rPr>
            </w:pPr>
            <w:r>
              <w:rPr>
                <w:rFonts w:hint="eastAsia" w:ascii="宋体" w:hAnsi="宋体" w:cs="宋体"/>
                <w:b/>
                <w:color w:val="000000" w:themeColor="text1"/>
              </w:rPr>
              <w:t>1</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b/>
                <w:color w:val="000000" w:themeColor="text1"/>
              </w:rPr>
            </w:pPr>
          </w:p>
        </w:tc>
        <w:tc>
          <w:tcPr>
            <w:tcW w:w="1785" w:type="dxa"/>
            <w:vAlign w:val="center"/>
          </w:tcPr>
          <w:p>
            <w:pP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2</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3</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4</w:t>
            </w:r>
          </w:p>
        </w:tc>
        <w:tc>
          <w:tcPr>
            <w:tcW w:w="5447" w:type="dxa"/>
            <w:vAlign w:val="center"/>
          </w:tcPr>
          <w:p>
            <w:pPr>
              <w:spacing w:line="360" w:lineRule="auto"/>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5</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6</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7</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191"/>
    <w:bookmarkEnd w:id="192"/>
    <w:bookmarkEnd w:id="193"/>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pStyle w:val="53"/>
        <w:rPr>
          <w:rFonts w:ascii="宋体" w:hAnsi="宋体" w:cs="宋体"/>
          <w:color w:val="000000" w:themeColor="text1"/>
          <w:sz w:val="44"/>
        </w:rPr>
      </w:pPr>
    </w:p>
    <w:p>
      <w:pPr>
        <w:pStyle w:val="53"/>
        <w:rPr>
          <w:rFonts w:ascii="宋体" w:hAnsi="宋体" w:cs="宋体"/>
          <w:color w:val="000000" w:themeColor="text1"/>
          <w:sz w:val="44"/>
        </w:rPr>
      </w:pPr>
    </w:p>
    <w:p>
      <w:pPr>
        <w:pStyle w:val="53"/>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三、符合性检查响应对照表（格式）</w:t>
      </w:r>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b/>
                <w:color w:val="000000" w:themeColor="text1"/>
              </w:rPr>
            </w:pPr>
            <w:r>
              <w:rPr>
                <w:rFonts w:hint="eastAsia" w:ascii="宋体" w:hAnsi="宋体" w:cs="宋体"/>
                <w:b/>
                <w:color w:val="000000" w:themeColor="text1"/>
              </w:rPr>
              <w:t>1</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b/>
                <w:color w:val="000000" w:themeColor="text1"/>
              </w:rPr>
            </w:pPr>
          </w:p>
        </w:tc>
        <w:tc>
          <w:tcPr>
            <w:tcW w:w="1785" w:type="dxa"/>
            <w:vAlign w:val="center"/>
          </w:tcPr>
          <w:p>
            <w:pP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2</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3</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4</w:t>
            </w:r>
          </w:p>
        </w:tc>
        <w:tc>
          <w:tcPr>
            <w:tcW w:w="5447" w:type="dxa"/>
            <w:vAlign w:val="center"/>
          </w:tcPr>
          <w:p>
            <w:pPr>
              <w:spacing w:line="360" w:lineRule="auto"/>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5</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6</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7</w:t>
            </w:r>
          </w:p>
        </w:tc>
        <w:tc>
          <w:tcPr>
            <w:tcW w:w="5447" w:type="dxa"/>
            <w:vAlign w:val="center"/>
          </w:tcPr>
          <w:p>
            <w:pPr>
              <w:snapToGrid w:val="0"/>
              <w:spacing w:line="590" w:lineRule="atLeast"/>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bookmarkStart w:id="197" w:name="_Toc120614284"/>
    </w:p>
    <w:p>
      <w:pPr>
        <w:pStyle w:val="53"/>
        <w:rPr>
          <w:rFonts w:ascii="宋体" w:hAnsi="宋体" w:cs="宋体"/>
          <w:color w:val="000000" w:themeColor="text1"/>
          <w:sz w:val="32"/>
          <w:szCs w:val="32"/>
        </w:rPr>
      </w:pPr>
    </w:p>
    <w:p>
      <w:pPr>
        <w:pStyle w:val="53"/>
        <w:rPr>
          <w:rFonts w:ascii="宋体" w:hAnsi="宋体" w:cs="宋体"/>
          <w:color w:val="000000" w:themeColor="text1"/>
          <w:sz w:val="32"/>
          <w:szCs w:val="32"/>
        </w:rPr>
      </w:pPr>
    </w:p>
    <w:p>
      <w:pPr>
        <w:snapToGrid w:val="0"/>
        <w:spacing w:before="50" w:after="50"/>
        <w:rPr>
          <w:rFonts w:ascii="宋体" w:hAnsi="宋体" w:cs="宋体"/>
          <w:color w:val="000000" w:themeColor="text1"/>
          <w:sz w:val="24"/>
          <w:szCs w:val="24"/>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四、投标函（格式）</w:t>
      </w:r>
    </w:p>
    <w:p>
      <w:pPr>
        <w:pStyle w:val="78"/>
        <w:spacing w:before="0" w:after="0" w:line="420" w:lineRule="exact"/>
        <w:ind w:firstLine="0"/>
        <w:rPr>
          <w:rFonts w:ascii="宋体" w:hAnsi="宋体" w:cs="宋体"/>
          <w:color w:val="000000" w:themeColor="text1"/>
          <w:kern w:val="2"/>
          <w:szCs w:val="21"/>
        </w:rPr>
      </w:pPr>
      <w:r>
        <w:rPr>
          <w:rFonts w:hint="eastAsia" w:ascii="宋体" w:hAnsi="宋体" w:cs="宋体"/>
          <w:color w:val="000000" w:themeColor="text1"/>
          <w:kern w:val="2"/>
          <w:szCs w:val="21"/>
        </w:rPr>
        <w:t>致：</w:t>
      </w:r>
      <w:r>
        <w:rPr>
          <w:rFonts w:hint="eastAsia" w:ascii="宋体" w:hAnsi="宋体" w:cs="宋体"/>
          <w:color w:val="000000" w:themeColor="text1"/>
          <w:kern w:val="2"/>
          <w:szCs w:val="21"/>
          <w:u w:val="single"/>
        </w:rPr>
        <w:t>盐城工业职业技术学院</w:t>
      </w:r>
    </w:p>
    <w:p>
      <w:pPr>
        <w:pStyle w:val="78"/>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根据贵方的号招标文件，正式授权下述签字人_________________(姓名)代表我方______________（投标人的名称），全权处理本次项目投标的有关事宜。</w:t>
      </w:r>
    </w:p>
    <w:p>
      <w:pPr>
        <w:pStyle w:val="78"/>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据此函，__________签字人兹宣布同意如下：</w:t>
      </w:r>
    </w:p>
    <w:p>
      <w:pPr>
        <w:pStyle w:val="78"/>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1.按招标文件规定的各项要求，向买方提供所需货物与服务。</w:t>
      </w:r>
    </w:p>
    <w:p>
      <w:pPr>
        <w:pStyle w:val="78"/>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2.我们完全理解贵方不一定将合同授予最低报价的投标人。</w:t>
      </w:r>
    </w:p>
    <w:p>
      <w:pPr>
        <w:pStyle w:val="78"/>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78"/>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4.我们同意从规定的开标日期起遵循本投标文件，并在规定的投标有效期期满之前均具有约束力。</w:t>
      </w:r>
    </w:p>
    <w:p>
      <w:pPr>
        <w:pStyle w:val="78"/>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5.如果在开标后规定的投标有效期内撤回投标或中标后拒绝签订合同，我们的投标保证金可不予退还。</w:t>
      </w:r>
    </w:p>
    <w:p>
      <w:pPr>
        <w:pStyle w:val="78"/>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78"/>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78"/>
        <w:spacing w:before="0" w:after="0" w:line="420" w:lineRule="exact"/>
        <w:ind w:left="425" w:firstLine="0"/>
        <w:rPr>
          <w:rFonts w:ascii="宋体" w:hAnsi="宋体" w:cs="宋体"/>
          <w:color w:val="000000" w:themeColor="text1"/>
          <w:kern w:val="2"/>
          <w:szCs w:val="21"/>
        </w:rPr>
      </w:pPr>
      <w:r>
        <w:rPr>
          <w:rFonts w:hint="eastAsia" w:ascii="宋体" w:hAnsi="宋体" w:cs="宋体"/>
          <w:color w:val="000000" w:themeColor="text1"/>
          <w:kern w:val="2"/>
          <w:szCs w:val="21"/>
        </w:rPr>
        <w:t>8.与本投标有关的正式通讯地址为：</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地          址：</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邮          编：</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电          话：</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传          真：</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投标人开户行：</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账          户： </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投标人授权代表姓名（签字）： </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投标人名称（公章）： </w:t>
      </w:r>
    </w:p>
    <w:p>
      <w:pPr>
        <w:pStyle w:val="78"/>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日           期：________年____月____日</w:t>
      </w:r>
    </w:p>
    <w:p>
      <w:pPr>
        <w:snapToGrid w:val="0"/>
        <w:spacing w:before="50" w:afterLines="50"/>
        <w:jc w:val="left"/>
        <w:rPr>
          <w:rFonts w:ascii="宋体" w:hAnsi="宋体" w:cs="宋体"/>
          <w:color w:val="000000" w:themeColor="text1"/>
          <w:sz w:val="24"/>
          <w:szCs w:val="20"/>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五、开标一览表（格式）</w:t>
      </w:r>
    </w:p>
    <w:p>
      <w:pPr>
        <w:snapToGrid w:val="0"/>
        <w:spacing w:before="50" w:after="50"/>
        <w:jc w:val="center"/>
        <w:rPr>
          <w:rFonts w:ascii="宋体" w:hAnsi="宋体" w:cs="宋体"/>
          <w:color w:val="000000" w:themeColor="text1"/>
          <w:sz w:val="32"/>
          <w:szCs w:val="32"/>
        </w:rPr>
      </w:pPr>
    </w:p>
    <w:tbl>
      <w:tblPr>
        <w:tblStyle w:val="4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420" w:firstLineChars="200"/>
              <w:rPr>
                <w:rFonts w:ascii="宋体" w:hAnsi="宋体" w:cs="宋体"/>
                <w:color w:val="000000" w:themeColor="text1"/>
                <w:szCs w:val="28"/>
              </w:rPr>
            </w:pPr>
            <w:r>
              <w:rPr>
                <w:rFonts w:hint="eastAsia" w:ascii="宋体" w:hAnsi="宋体" w:cs="宋体"/>
                <w:color w:val="000000" w:themeColor="text1"/>
                <w:szCs w:val="28"/>
              </w:rPr>
              <w:t>项 目 编 号</w:t>
            </w:r>
          </w:p>
        </w:tc>
        <w:tc>
          <w:tcPr>
            <w:tcW w:w="6732" w:type="dxa"/>
            <w:vAlign w:val="center"/>
          </w:tcPr>
          <w:p>
            <w:pPr>
              <w:pStyle w:val="5"/>
              <w:jc w:val="both"/>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2019-026S-2（分包</w:t>
            </w:r>
            <w:r>
              <w:rPr>
                <w:rFonts w:hint="eastAsia" w:hAnsi="宋体" w:cs="宋体"/>
                <w:color w:val="000000" w:themeColor="text1"/>
                <w:sz w:val="24"/>
                <w:szCs w:val="24"/>
                <w:u w:val="single"/>
              </w:rPr>
              <w:t xml:space="preserve">     </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420" w:firstLineChars="200"/>
              <w:rPr>
                <w:rFonts w:ascii="宋体" w:hAnsi="宋体" w:cs="宋体"/>
                <w:color w:val="000000" w:themeColor="text1"/>
                <w:szCs w:val="28"/>
              </w:rPr>
            </w:pPr>
            <w:r>
              <w:rPr>
                <w:rFonts w:hint="eastAsia" w:ascii="宋体" w:hAnsi="宋体" w:cs="宋体"/>
                <w:color w:val="000000" w:themeColor="text1"/>
                <w:szCs w:val="28"/>
              </w:rPr>
              <w:t>项 目 名 称</w:t>
            </w:r>
          </w:p>
        </w:tc>
        <w:tc>
          <w:tcPr>
            <w:tcW w:w="6732" w:type="dxa"/>
            <w:vAlign w:val="center"/>
          </w:tcPr>
          <w:p>
            <w:pPr>
              <w:pStyle w:val="5"/>
              <w:jc w:val="both"/>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盐城工业职业技术学院网络安全实验室建设项目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432" w:type="dxa"/>
            <w:gridSpan w:val="2"/>
            <w:vAlign w:val="center"/>
          </w:tcPr>
          <w:p>
            <w:pPr>
              <w:rPr>
                <w:rFonts w:ascii="宋体" w:hAnsi="宋体" w:cs="宋体"/>
                <w:color w:val="000000" w:themeColor="text1"/>
                <w:szCs w:val="28"/>
              </w:rPr>
            </w:pPr>
            <w:r>
              <w:rPr>
                <w:rFonts w:hint="eastAsia" w:ascii="宋体" w:hAnsi="宋体" w:cs="宋体"/>
                <w:b/>
                <w:bCs/>
                <w:color w:val="000000" w:themeColor="text1"/>
                <w:szCs w:val="28"/>
              </w:rPr>
              <w:t>项目投标报价：（大写）</w:t>
            </w:r>
            <w:r>
              <w:rPr>
                <w:rFonts w:hint="eastAsia" w:hAnsi="宋体" w:cs="宋体"/>
                <w:color w:val="000000" w:themeColor="text1"/>
                <w:sz w:val="24"/>
                <w:szCs w:val="24"/>
                <w:u w:val="single"/>
              </w:rPr>
              <w:t xml:space="preserve">     </w:t>
            </w:r>
            <w:r>
              <w:rPr>
                <w:rFonts w:hint="eastAsia" w:ascii="宋体" w:hAnsi="宋体" w:cs="宋体"/>
                <w:b/>
                <w:bCs/>
                <w:color w:val="000000" w:themeColor="text1"/>
                <w:szCs w:val="28"/>
              </w:rPr>
              <w:t>，小写：</w:t>
            </w:r>
            <w:r>
              <w:rPr>
                <w:rFonts w:hint="eastAsia" w:hAnsi="宋体" w:cs="宋体"/>
                <w:color w:val="000000" w:themeColor="text1"/>
                <w:sz w:val="24"/>
                <w:szCs w:val="24"/>
                <w:u w:val="single"/>
              </w:rPr>
              <w:t xml:space="preserve">     </w:t>
            </w:r>
            <w:r>
              <w:rPr>
                <w:rFonts w:hint="eastAsia" w:ascii="宋体" w:hAnsi="宋体" w:cs="宋体"/>
                <w:bCs/>
                <w:color w:val="000000" w:themeColor="text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432" w:type="dxa"/>
            <w:gridSpan w:val="2"/>
            <w:vAlign w:val="center"/>
          </w:tcPr>
          <w:p>
            <w:pPr>
              <w:rPr>
                <w:rFonts w:ascii="宋体" w:hAnsi="宋体" w:cs="宋体"/>
                <w:b/>
                <w:bCs/>
                <w:color w:val="000000" w:themeColor="text1"/>
                <w:szCs w:val="28"/>
              </w:rPr>
            </w:pPr>
            <w:r>
              <w:rPr>
                <w:rFonts w:hint="eastAsia" w:ascii="宋体" w:hAnsi="宋体" w:cs="宋体"/>
                <w:b/>
                <w:bCs/>
                <w:color w:val="000000" w:themeColor="text1"/>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432" w:type="dxa"/>
            <w:gridSpan w:val="2"/>
            <w:vAlign w:val="center"/>
          </w:tcPr>
          <w:p>
            <w:pPr>
              <w:rPr>
                <w:rFonts w:ascii="宋体" w:hAnsi="宋体" w:cs="宋体"/>
                <w:b/>
                <w:bCs/>
                <w:color w:val="000000" w:themeColor="text1"/>
                <w:szCs w:val="28"/>
              </w:rPr>
            </w:pPr>
            <w:r>
              <w:rPr>
                <w:rFonts w:hint="eastAsia" w:ascii="宋体" w:hAnsi="宋体" w:cs="宋体"/>
                <w:b/>
                <w:bCs/>
                <w:color w:val="000000" w:themeColor="text1"/>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432" w:type="dxa"/>
            <w:gridSpan w:val="2"/>
            <w:vAlign w:val="center"/>
          </w:tcPr>
          <w:p>
            <w:pPr>
              <w:rPr>
                <w:rFonts w:ascii="宋体" w:hAnsi="宋体" w:cs="宋体"/>
                <w:color w:val="000000" w:themeColor="text1"/>
                <w:szCs w:val="28"/>
              </w:rPr>
            </w:pPr>
            <w:r>
              <w:rPr>
                <w:rFonts w:hint="eastAsia" w:ascii="宋体" w:hAnsi="宋体" w:cs="宋体"/>
                <w:color w:val="000000" w:themeColor="text1"/>
                <w:szCs w:val="28"/>
              </w:rPr>
              <w:t>保证金形式：</w:t>
            </w:r>
          </w:p>
        </w:tc>
      </w:tr>
    </w:tbl>
    <w:p>
      <w:pPr>
        <w:spacing w:line="180" w:lineRule="atLeast"/>
        <w:rPr>
          <w:rFonts w:ascii="宋体" w:hAnsi="宋体" w:cs="宋体"/>
          <w:color w:val="000000" w:themeColor="text1"/>
          <w:szCs w:val="28"/>
        </w:rPr>
      </w:pPr>
      <w:r>
        <w:rPr>
          <w:rFonts w:hint="eastAsia" w:ascii="宋体" w:hAnsi="宋体" w:cs="宋体"/>
          <w:color w:val="000000" w:themeColor="text1"/>
          <w:szCs w:val="28"/>
        </w:rPr>
        <w:t>填写说明：</w:t>
      </w:r>
    </w:p>
    <w:p>
      <w:pPr>
        <w:numPr>
          <w:ilvl w:val="0"/>
          <w:numId w:val="3"/>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3"/>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开标一览表中报价与投标分项明细报价表中不符时，以开标一览表为准。</w:t>
      </w:r>
    </w:p>
    <w:p>
      <w:pPr>
        <w:ind w:firstLine="2640" w:firstLineChars="600"/>
        <w:rPr>
          <w:rFonts w:ascii="宋体" w:hAnsi="宋体" w:cs="宋体"/>
          <w:color w:val="000000" w:themeColor="text1"/>
          <w:sz w:val="44"/>
        </w:rPr>
      </w:pPr>
    </w:p>
    <w:p>
      <w:pPr>
        <w:ind w:firstLine="480"/>
        <w:rPr>
          <w:rFonts w:ascii="宋体" w:hAnsi="宋体" w:cs="宋体"/>
          <w:color w:val="000000" w:themeColor="text1"/>
          <w:sz w:val="24"/>
        </w:rPr>
      </w:pPr>
    </w:p>
    <w:p>
      <w:pPr>
        <w:ind w:firstLine="480"/>
        <w:rPr>
          <w:rFonts w:ascii="宋体" w:hAnsi="宋体" w:cs="宋体"/>
          <w:color w:val="000000" w:themeColor="text1"/>
          <w:sz w:val="24"/>
        </w:rPr>
      </w:pPr>
    </w:p>
    <w:p>
      <w:pPr>
        <w:ind w:right="480" w:firstLine="4440" w:firstLineChars="1850"/>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年月日</w:t>
      </w: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rPr>
          <w:rFonts w:ascii="宋体" w:hAnsi="宋体" w:cs="宋体"/>
          <w:color w:val="000000" w:themeColor="text1"/>
          <w:sz w:val="32"/>
          <w:szCs w:val="32"/>
        </w:rPr>
        <w:sectPr>
          <w:headerReference r:id="rId7" w:type="default"/>
          <w:footerReference r:id="rId8" w:type="default"/>
          <w:pgSz w:w="11906" w:h="16838"/>
          <w:pgMar w:top="1418" w:right="1588" w:bottom="1418" w:left="1365" w:header="851" w:footer="907" w:gutter="0"/>
          <w:pgNumType w:start="1"/>
          <w:cols w:space="720" w:num="1"/>
          <w:docGrid w:type="lines" w:linePitch="290" w:charSpace="0"/>
        </w:sect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369"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442"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781"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货物名称及规格、型号</w:t>
            </w:r>
          </w:p>
        </w:tc>
        <w:tc>
          <w:tcPr>
            <w:tcW w:w="2369"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42"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2781"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color w:val="000000" w:themeColor="text1"/>
                <w:sz w:val="24"/>
                <w:szCs w:val="24"/>
              </w:rPr>
            </w:pPr>
          </w:p>
        </w:tc>
        <w:tc>
          <w:tcPr>
            <w:tcW w:w="2369" w:type="dxa"/>
            <w:vAlign w:val="center"/>
          </w:tcPr>
          <w:p>
            <w:pPr>
              <w:rPr>
                <w:rFonts w:ascii="宋体" w:hAnsi="宋体" w:cs="宋体"/>
                <w:color w:val="000000" w:themeColor="text1"/>
                <w:sz w:val="24"/>
                <w:szCs w:val="24"/>
              </w:rPr>
            </w:pPr>
          </w:p>
        </w:tc>
        <w:tc>
          <w:tcPr>
            <w:tcW w:w="1442" w:type="dxa"/>
            <w:vAlign w:val="center"/>
          </w:tcPr>
          <w:p>
            <w:pPr>
              <w:rPr>
                <w:rFonts w:ascii="宋体" w:hAnsi="宋体" w:cs="宋体"/>
                <w:color w:val="000000" w:themeColor="text1"/>
                <w:sz w:val="24"/>
                <w:szCs w:val="24"/>
              </w:rPr>
            </w:pPr>
          </w:p>
        </w:tc>
        <w:tc>
          <w:tcPr>
            <w:tcW w:w="2781" w:type="dxa"/>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color w:val="000000" w:themeColor="text1"/>
                <w:sz w:val="24"/>
                <w:szCs w:val="24"/>
              </w:rPr>
            </w:pPr>
          </w:p>
        </w:tc>
        <w:tc>
          <w:tcPr>
            <w:tcW w:w="2369" w:type="dxa"/>
            <w:vAlign w:val="center"/>
          </w:tcPr>
          <w:p>
            <w:pPr>
              <w:rPr>
                <w:rFonts w:ascii="宋体" w:hAnsi="宋体" w:cs="宋体"/>
                <w:color w:val="000000" w:themeColor="text1"/>
                <w:sz w:val="24"/>
                <w:szCs w:val="24"/>
              </w:rPr>
            </w:pPr>
          </w:p>
        </w:tc>
        <w:tc>
          <w:tcPr>
            <w:tcW w:w="1442" w:type="dxa"/>
            <w:vAlign w:val="center"/>
          </w:tcPr>
          <w:p>
            <w:pPr>
              <w:rPr>
                <w:rFonts w:ascii="宋体" w:hAnsi="宋体" w:cs="宋体"/>
                <w:color w:val="000000" w:themeColor="text1"/>
                <w:sz w:val="24"/>
                <w:szCs w:val="24"/>
              </w:rPr>
            </w:pPr>
          </w:p>
        </w:tc>
        <w:tc>
          <w:tcPr>
            <w:tcW w:w="2781" w:type="dxa"/>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color w:val="000000" w:themeColor="text1"/>
                <w:sz w:val="24"/>
                <w:szCs w:val="24"/>
              </w:rPr>
            </w:pPr>
          </w:p>
        </w:tc>
        <w:tc>
          <w:tcPr>
            <w:tcW w:w="2369" w:type="dxa"/>
            <w:vAlign w:val="center"/>
          </w:tcPr>
          <w:p>
            <w:pPr>
              <w:rPr>
                <w:rFonts w:ascii="宋体" w:hAnsi="宋体" w:cs="宋体"/>
                <w:color w:val="000000" w:themeColor="text1"/>
                <w:sz w:val="24"/>
                <w:szCs w:val="24"/>
              </w:rPr>
            </w:pPr>
          </w:p>
        </w:tc>
        <w:tc>
          <w:tcPr>
            <w:tcW w:w="1442" w:type="dxa"/>
            <w:vAlign w:val="center"/>
          </w:tcPr>
          <w:p>
            <w:pPr>
              <w:rPr>
                <w:rFonts w:ascii="宋体" w:hAnsi="宋体" w:cs="宋体"/>
                <w:color w:val="000000" w:themeColor="text1"/>
                <w:sz w:val="24"/>
                <w:szCs w:val="24"/>
              </w:rPr>
            </w:pPr>
          </w:p>
        </w:tc>
        <w:tc>
          <w:tcPr>
            <w:tcW w:w="2781" w:type="dxa"/>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hAnsi="宋体" w:cs="宋体"/>
                <w:color w:val="000000" w:themeColor="text1"/>
                <w:sz w:val="24"/>
                <w:szCs w:val="24"/>
              </w:rPr>
            </w:pPr>
          </w:p>
        </w:tc>
        <w:tc>
          <w:tcPr>
            <w:tcW w:w="2369" w:type="dxa"/>
            <w:vAlign w:val="center"/>
          </w:tcPr>
          <w:p>
            <w:pPr>
              <w:rPr>
                <w:rFonts w:ascii="宋体" w:hAnsi="宋体" w:cs="宋体"/>
                <w:color w:val="000000" w:themeColor="text1"/>
                <w:sz w:val="24"/>
                <w:szCs w:val="24"/>
              </w:rPr>
            </w:pPr>
          </w:p>
        </w:tc>
        <w:tc>
          <w:tcPr>
            <w:tcW w:w="1442" w:type="dxa"/>
            <w:vAlign w:val="center"/>
          </w:tcPr>
          <w:p>
            <w:pPr>
              <w:rPr>
                <w:rFonts w:ascii="宋体" w:hAnsi="宋体" w:cs="宋体"/>
                <w:color w:val="000000" w:themeColor="text1"/>
                <w:sz w:val="24"/>
                <w:szCs w:val="24"/>
              </w:rPr>
            </w:pPr>
          </w:p>
        </w:tc>
        <w:tc>
          <w:tcPr>
            <w:tcW w:w="2781" w:type="dxa"/>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6592" w:type="dxa"/>
            <w:gridSpan w:val="3"/>
          </w:tcPr>
          <w:p>
            <w:pPr>
              <w:rPr>
                <w:rFonts w:ascii="宋体" w:hAnsi="宋体" w:cs="宋体"/>
                <w:color w:val="000000" w:themeColor="text1"/>
                <w:sz w:val="24"/>
                <w:szCs w:val="24"/>
              </w:rPr>
            </w:pPr>
          </w:p>
        </w:tc>
      </w:tr>
    </w:tbl>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spacing w:line="360" w:lineRule="auto"/>
        <w:rPr>
          <w:rFonts w:ascii="宋体" w:hAnsi="宋体" w:cs="宋体"/>
          <w:color w:val="000000" w:themeColor="text1"/>
          <w:sz w:val="24"/>
        </w:rPr>
      </w:pPr>
      <w:r>
        <w:rPr>
          <w:rFonts w:hint="eastAsia" w:ascii="宋体" w:hAnsi="宋体" w:cs="宋体"/>
          <w:color w:val="000000" w:themeColor="text1"/>
          <w:sz w:val="24"/>
        </w:rPr>
        <w:t>1、此表可以根据需要自行增减行数。</w:t>
      </w: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sectPr>
          <w:pgSz w:w="11906" w:h="16838"/>
          <w:pgMar w:top="1418" w:right="1366" w:bottom="1418" w:left="1588" w:header="851" w:footer="907" w:gutter="0"/>
          <w:pgNumType w:fmt="numberInDash"/>
          <w:cols w:space="720" w:num="1"/>
          <w:docGrid w:type="linesAndChars" w:linePitch="290" w:charSpace="0"/>
        </w:sect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七、技术参数响应及偏离表（如有）</w:t>
      </w:r>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4"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2852" w:type="dxa"/>
          </w:tcPr>
          <w:p>
            <w:pPr>
              <w:jc w:val="center"/>
              <w:rPr>
                <w:rFonts w:ascii="宋体" w:hAnsi="宋体" w:cs="宋体"/>
                <w:color w:val="000000" w:themeColor="text1"/>
                <w:sz w:val="24"/>
                <w:szCs w:val="24"/>
              </w:rPr>
            </w:pPr>
          </w:p>
        </w:tc>
        <w:tc>
          <w:tcPr>
            <w:tcW w:w="1308" w:type="dxa"/>
          </w:tcPr>
          <w:p>
            <w:pPr>
              <w:jc w:val="center"/>
              <w:rPr>
                <w:rFonts w:ascii="宋体" w:hAnsi="宋体" w:cs="宋体"/>
                <w:color w:val="000000" w:themeColor="text1"/>
                <w:sz w:val="24"/>
                <w:szCs w:val="24"/>
              </w:rPr>
            </w:pPr>
          </w:p>
        </w:tc>
        <w:tc>
          <w:tcPr>
            <w:tcW w:w="1173" w:type="dxa"/>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2、行数不够，可自行添加。</w:t>
      </w: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rPr>
          <w:rFonts w:ascii="宋体" w:hAnsi="宋体" w:cs="宋体"/>
          <w:color w:val="000000" w:themeColor="text1"/>
          <w:sz w:val="32"/>
        </w:rPr>
      </w:pPr>
    </w:p>
    <w:bookmarkEnd w:id="197"/>
    <w:p>
      <w:pPr>
        <w:snapToGrid w:val="0"/>
        <w:spacing w:before="50" w:after="50"/>
        <w:jc w:val="center"/>
        <w:rPr>
          <w:rFonts w:ascii="宋体" w:hAnsi="宋体" w:cs="宋体"/>
          <w:color w:val="000000" w:themeColor="text1"/>
          <w:sz w:val="32"/>
          <w:szCs w:val="32"/>
        </w:rPr>
      </w:pPr>
      <w:bookmarkStart w:id="198" w:name="_Hlt26955054"/>
      <w:bookmarkEnd w:id="198"/>
      <w:r>
        <w:rPr>
          <w:rFonts w:hint="eastAsia" w:ascii="宋体" w:hAnsi="宋体" w:cs="宋体"/>
          <w:color w:val="000000" w:themeColor="text1"/>
          <w:sz w:val="32"/>
          <w:szCs w:val="32"/>
        </w:rPr>
        <w:t>八、商务条款响应及偏离表（如有）</w:t>
      </w:r>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6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672"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5"/>
        <w:rPr>
          <w:rFonts w:ascii="宋体" w:hAnsi="宋体" w:eastAsia="宋体" w:cs="宋体"/>
          <w:b w:val="0"/>
          <w:bCs w:val="0"/>
          <w:color w:val="000000" w:themeColor="text1"/>
          <w:sz w:val="24"/>
          <w:szCs w:val="2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199" w:name="_Hlt24879081"/>
      <w:bookmarkEnd w:id="199"/>
      <w:bookmarkStart w:id="200" w:name="_Hlt26955064"/>
      <w:bookmarkEnd w:id="200"/>
      <w:bookmarkStart w:id="201" w:name="_Hlt26782999"/>
      <w:bookmarkEnd w:id="201"/>
      <w:bookmarkStart w:id="202" w:name="_Hlt26955056"/>
      <w:bookmarkEnd w:id="202"/>
      <w:bookmarkStart w:id="203" w:name="_Hlt26609391"/>
      <w:bookmarkEnd w:id="203"/>
      <w:bookmarkStart w:id="204" w:name="_Hlt26609389"/>
      <w:bookmarkEnd w:id="204"/>
      <w:bookmarkStart w:id="205" w:name="_Hlt26955066"/>
      <w:bookmarkEnd w:id="205"/>
      <w:bookmarkStart w:id="206" w:name="_Hlt26671374"/>
      <w:bookmarkEnd w:id="206"/>
      <w:bookmarkStart w:id="207" w:name="_Hlt26580838"/>
      <w:bookmarkEnd w:id="207"/>
      <w:bookmarkStart w:id="208" w:name="_Hlt26671343"/>
      <w:bookmarkEnd w:id="208"/>
      <w:bookmarkStart w:id="209" w:name="_Hlt26671372"/>
      <w:bookmarkEnd w:id="209"/>
      <w:bookmarkStart w:id="210" w:name="_Toc462564146"/>
    </w:p>
    <w:bookmarkEnd w:id="162"/>
    <w:bookmarkEnd w:id="163"/>
    <w:bookmarkEnd w:id="210"/>
    <w:p>
      <w:pPr>
        <w:widowControl/>
        <w:jc w:val="left"/>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44"/>
          <w:szCs w:val="44"/>
        </w:rPr>
      </w:pPr>
      <w:r>
        <w:rPr>
          <w:rFonts w:hint="eastAsia" w:ascii="宋体" w:hAnsi="宋体" w:cs="宋体"/>
          <w:color w:val="000000" w:themeColor="text1"/>
          <w:sz w:val="44"/>
          <w:szCs w:val="44"/>
        </w:rPr>
        <w:t>九、品牌授权使用承诺书</w:t>
      </w:r>
    </w:p>
    <w:p>
      <w:pPr>
        <w:snapToGrid w:val="0"/>
        <w:spacing w:before="50" w:after="50"/>
        <w:jc w:val="center"/>
        <w:rPr>
          <w:rFonts w:ascii="宋体" w:hAnsi="宋体" w:cs="宋体"/>
          <w:color w:val="000000" w:themeColor="text1"/>
          <w:sz w:val="32"/>
          <w:szCs w:val="32"/>
        </w:rPr>
      </w:pPr>
    </w:p>
    <w:p>
      <w:pPr>
        <w:pStyle w:val="53"/>
        <w:rPr>
          <w:rFonts w:ascii="宋体" w:hAnsi="宋体" w:cs="宋体"/>
          <w:color w:val="000000" w:themeColor="text1"/>
        </w:rPr>
      </w:pPr>
    </w:p>
    <w:p>
      <w:pPr>
        <w:pStyle w:val="53"/>
        <w:rPr>
          <w:color w:val="000000" w:themeColor="text1"/>
        </w:rPr>
      </w:pPr>
      <w:r>
        <w:rPr>
          <w:rFonts w:hint="eastAsia" w:ascii="仿宋_GB2312" w:hAnsi="宋体" w:eastAsia="仿宋_GB2312" w:cs="宋体"/>
          <w:color w:val="000000" w:themeColor="text1"/>
          <w:sz w:val="32"/>
          <w:szCs w:val="32"/>
        </w:rPr>
        <w:t>盐城工业职业技术学院：</w:t>
      </w:r>
    </w:p>
    <w:p>
      <w:pPr>
        <w:pStyle w:val="2"/>
        <w:spacing w:line="600" w:lineRule="auto"/>
        <w:ind w:firstLine="640"/>
        <w:rPr>
          <w:rFonts w:ascii="仿宋_GB2312" w:eastAsia="仿宋_GB2312" w:cs="宋体"/>
          <w:color w:val="000000" w:themeColor="text1"/>
          <w:sz w:val="32"/>
          <w:szCs w:val="32"/>
        </w:rPr>
      </w:pPr>
      <w:r>
        <w:rPr>
          <w:rFonts w:hint="eastAsia" w:ascii="仿宋_GB2312" w:eastAsia="仿宋_GB2312" w:cs="宋体"/>
          <w:color w:val="000000" w:themeColor="text1"/>
          <w:sz w:val="32"/>
          <w:szCs w:val="32"/>
        </w:rPr>
        <w:t>我司承诺，在中标</w:t>
      </w:r>
      <w:r>
        <w:rPr>
          <w:rFonts w:hint="eastAsia" w:ascii="仿宋_GB2312" w:eastAsia="仿宋_GB2312" w:cs="宋体"/>
          <w:color w:val="000000" w:themeColor="text1"/>
          <w:sz w:val="32"/>
          <w:szCs w:val="32"/>
          <w:u w:val="single"/>
        </w:rPr>
        <w:t>盐城工业职业技术学院网络安全实验室建设项目（分包二）</w:t>
      </w:r>
      <w:r>
        <w:rPr>
          <w:rFonts w:hint="eastAsia" w:ascii="仿宋_GB2312" w:eastAsia="仿宋_GB2312" w:cs="宋体"/>
          <w:color w:val="000000" w:themeColor="text1"/>
          <w:sz w:val="32"/>
          <w:szCs w:val="32"/>
        </w:rPr>
        <w:t>后十个工作日内正式出具授予贵校挂牌具有XXX品牌标识的校企合作产业学院授权书，具体授牌名称为：</w:t>
      </w:r>
      <w:r>
        <w:rPr>
          <w:rFonts w:hint="eastAsia" w:ascii="仿宋_GB2312" w:eastAsia="仿宋_GB2312" w:cs="宋体"/>
          <w:color w:val="000000" w:themeColor="text1"/>
          <w:sz w:val="32"/>
          <w:szCs w:val="32"/>
          <w:u w:val="single"/>
        </w:rPr>
        <w:t xml:space="preserve">           </w:t>
      </w:r>
      <w:r>
        <w:rPr>
          <w:rFonts w:hint="eastAsia" w:ascii="仿宋_GB2312" w:eastAsia="仿宋_GB2312" w:cs="宋体"/>
          <w:color w:val="000000" w:themeColor="text1"/>
          <w:sz w:val="32"/>
          <w:szCs w:val="32"/>
        </w:rPr>
        <w:t>，时间自中标之日起不少于五年。</w:t>
      </w:r>
    </w:p>
    <w:p>
      <w:pPr>
        <w:pStyle w:val="2"/>
        <w:spacing w:line="600" w:lineRule="auto"/>
        <w:ind w:firstLine="640"/>
        <w:rPr>
          <w:color w:val="000000" w:themeColor="text1"/>
        </w:rPr>
      </w:pPr>
      <w:r>
        <w:rPr>
          <w:rFonts w:hint="eastAsia" w:ascii="仿宋_GB2312" w:eastAsia="仿宋_GB2312" w:cs="宋体"/>
          <w:color w:val="000000" w:themeColor="text1"/>
          <w:sz w:val="32"/>
          <w:szCs w:val="32"/>
        </w:rPr>
        <w:t>若不能做到该承诺事宜，贵校有权取消我司中标资格，并罚没我司投标保证金。</w:t>
      </w:r>
    </w:p>
    <w:p>
      <w:pPr>
        <w:pStyle w:val="2"/>
        <w:spacing w:line="600" w:lineRule="auto"/>
        <w:ind w:firstLine="640"/>
        <w:rPr>
          <w:rFonts w:ascii="仿宋_GB2312" w:eastAsia="仿宋_GB2312" w:cs="宋体"/>
          <w:color w:val="000000" w:themeColor="text1"/>
          <w:sz w:val="32"/>
          <w:szCs w:val="32"/>
        </w:rPr>
      </w:pPr>
      <w:r>
        <w:rPr>
          <w:rFonts w:hint="eastAsia" w:ascii="仿宋_GB2312" w:eastAsia="仿宋_GB2312" w:cs="宋体"/>
          <w:color w:val="000000" w:themeColor="text1"/>
          <w:sz w:val="32"/>
          <w:szCs w:val="32"/>
        </w:rPr>
        <w:t>特此承诺。</w:t>
      </w:r>
    </w:p>
    <w:p>
      <w:pPr>
        <w:pStyle w:val="53"/>
        <w:rPr>
          <w:color w:val="000000" w:themeColor="text1"/>
          <w:u w:val="single"/>
        </w:rPr>
      </w:pPr>
    </w:p>
    <w:p>
      <w:pPr>
        <w:spacing w:line="360" w:lineRule="auto"/>
        <w:ind w:firstLine="848" w:firstLineChars="265"/>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xml:space="preserve">                      投标人：（盖章）</w:t>
      </w:r>
    </w:p>
    <w:p>
      <w:pPr>
        <w:pStyle w:val="53"/>
        <w:rPr>
          <w:color w:val="000000" w:themeColor="text1"/>
        </w:rPr>
      </w:pPr>
    </w:p>
    <w:p>
      <w:pPr>
        <w:spacing w:line="360" w:lineRule="auto"/>
        <w:ind w:firstLine="4675" w:firstLineChars="1461"/>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法人代表签字：</w:t>
      </w:r>
    </w:p>
    <w:p>
      <w:pPr>
        <w:pStyle w:val="53"/>
        <w:rPr>
          <w:color w:val="000000" w:themeColor="text1"/>
        </w:rPr>
      </w:pPr>
    </w:p>
    <w:p>
      <w:pPr>
        <w:spacing w:line="360" w:lineRule="auto"/>
        <w:ind w:firstLine="4675" w:firstLineChars="1461"/>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xml:space="preserve">          年   月    日</w:t>
      </w:r>
    </w:p>
    <w:p>
      <w:pPr>
        <w:pStyle w:val="2"/>
        <w:rPr>
          <w:color w:val="000000" w:themeColor="text1"/>
        </w:rPr>
      </w:pPr>
    </w:p>
    <w:p>
      <w:pPr>
        <w:spacing w:line="360" w:lineRule="auto"/>
        <w:ind w:firstLine="4252" w:firstLineChars="1329"/>
        <w:rPr>
          <w:rFonts w:ascii="仿宋_GB2312" w:hAnsi="宋体" w:eastAsia="仿宋_GB2312" w:cs="宋体"/>
          <w:color w:val="000000" w:themeColor="text1"/>
          <w:sz w:val="32"/>
          <w:szCs w:val="32"/>
        </w:rPr>
      </w:pPr>
    </w:p>
    <w:p>
      <w:pPr>
        <w:spacing w:line="360" w:lineRule="auto"/>
        <w:ind w:firstLine="4252" w:firstLineChars="1329"/>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品牌持有人（盖章）</w:t>
      </w:r>
    </w:p>
    <w:p>
      <w:pPr>
        <w:widowControl/>
        <w:jc w:val="left"/>
        <w:rPr>
          <w:rFonts w:ascii="宋体" w:hAnsi="宋体" w:cs="宋体"/>
          <w:color w:val="000000" w:themeColor="text1"/>
          <w:sz w:val="32"/>
          <w:szCs w:val="32"/>
        </w:rPr>
      </w:pPr>
      <w:r>
        <w:rPr>
          <w:rFonts w:hint="eastAsia"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十、服务承诺（分包一）</w:t>
      </w:r>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rPr>
      </w:pPr>
      <w:r>
        <w:rPr>
          <w:rFonts w:hint="eastAsia" w:ascii="宋体" w:hAnsi="宋体" w:cs="宋体"/>
          <w:color w:val="000000" w:themeColor="text1"/>
        </w:rPr>
        <w:t>1、质保服务承诺：</w:t>
      </w:r>
    </w:p>
    <w:p>
      <w:pPr>
        <w:pStyle w:val="2"/>
        <w:rPr>
          <w:color w:val="000000" w:themeColor="text1"/>
        </w:rPr>
      </w:pPr>
    </w:p>
    <w:p>
      <w:pPr>
        <w:rPr>
          <w:rFonts w:ascii="宋体" w:hAnsi="宋体" w:cs="宋体"/>
          <w:color w:val="000000" w:themeColor="text1"/>
        </w:rPr>
      </w:pPr>
      <w:r>
        <w:rPr>
          <w:rFonts w:hint="eastAsia" w:ascii="宋体" w:hAnsi="宋体" w:cs="宋体"/>
          <w:color w:val="000000" w:themeColor="text1"/>
        </w:rPr>
        <w:t>2、售后服务承诺（含承诺为分包</w:t>
      </w:r>
      <w:r>
        <w:rPr>
          <w:rFonts w:ascii="宋体" w:hAnsi="宋体" w:cs="宋体"/>
          <w:color w:val="000000" w:themeColor="text1"/>
        </w:rPr>
        <w:t>二</w:t>
      </w:r>
      <w:r>
        <w:rPr>
          <w:rFonts w:hint="eastAsia" w:ascii="宋体" w:hAnsi="宋体" w:cs="宋体"/>
          <w:color w:val="000000" w:themeColor="text1"/>
        </w:rPr>
        <w:t>（软件部分）的软件调试开放所需接口）：</w:t>
      </w:r>
    </w:p>
    <w:p>
      <w:pPr>
        <w:pStyle w:val="2"/>
        <w:rPr>
          <w:color w:val="000000" w:themeColor="text1"/>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十一、服务承诺（分包二）</w:t>
      </w:r>
    </w:p>
    <w:p>
      <w:pPr>
        <w:snapToGrid w:val="0"/>
        <w:spacing w:before="50" w:after="50"/>
        <w:jc w:val="center"/>
        <w:rPr>
          <w:rFonts w:ascii="宋体" w:hAnsi="宋体" w:cs="宋体"/>
          <w:color w:val="000000" w:themeColor="text1"/>
          <w:sz w:val="32"/>
          <w:szCs w:val="32"/>
        </w:rPr>
      </w:pPr>
    </w:p>
    <w:p>
      <w:pPr>
        <w:pStyle w:val="53"/>
        <w:rPr>
          <w:rFonts w:ascii="宋体" w:hAnsi="宋体" w:cs="宋体"/>
          <w:color w:val="000000" w:themeColor="text1"/>
        </w:rPr>
      </w:pPr>
      <w:r>
        <w:rPr>
          <w:rFonts w:hint="eastAsia" w:ascii="宋体" w:hAnsi="宋体" w:cs="宋体"/>
          <w:color w:val="000000" w:themeColor="text1"/>
        </w:rPr>
        <w:t>1、升级、维护：</w:t>
      </w:r>
    </w:p>
    <w:p>
      <w:pPr>
        <w:pStyle w:val="53"/>
        <w:rPr>
          <w:rFonts w:ascii="宋体" w:hAnsi="宋体" w:cs="宋体"/>
          <w:color w:val="000000" w:themeColor="text1"/>
        </w:rPr>
      </w:pPr>
      <w:r>
        <w:rPr>
          <w:rFonts w:hint="eastAsia" w:ascii="宋体" w:hAnsi="宋体" w:cs="宋体"/>
          <w:color w:val="000000" w:themeColor="text1"/>
        </w:rPr>
        <w:t>2、定制专业人才建设方案：</w:t>
      </w:r>
    </w:p>
    <w:p>
      <w:pPr>
        <w:pStyle w:val="53"/>
        <w:rPr>
          <w:rFonts w:ascii="宋体" w:hAnsi="宋体" w:cs="宋体"/>
          <w:color w:val="000000" w:themeColor="text1"/>
        </w:rPr>
      </w:pPr>
      <w:r>
        <w:rPr>
          <w:rFonts w:hint="eastAsia" w:ascii="宋体" w:hAnsi="宋体" w:cs="宋体"/>
          <w:color w:val="000000" w:themeColor="text1"/>
        </w:rPr>
        <w:t>3、招生推广服务：</w:t>
      </w:r>
    </w:p>
    <w:p>
      <w:pPr>
        <w:pStyle w:val="53"/>
        <w:rPr>
          <w:rFonts w:ascii="宋体" w:hAnsi="宋体" w:cs="宋体"/>
          <w:color w:val="000000" w:themeColor="text1"/>
        </w:rPr>
      </w:pPr>
      <w:r>
        <w:rPr>
          <w:rFonts w:hint="eastAsia" w:ascii="宋体" w:hAnsi="宋体" w:cs="宋体"/>
          <w:color w:val="000000" w:themeColor="text1"/>
        </w:rPr>
        <w:t>4、师资培训服务：</w:t>
      </w:r>
    </w:p>
    <w:p>
      <w:pPr>
        <w:pStyle w:val="53"/>
        <w:rPr>
          <w:rFonts w:ascii="宋体" w:hAnsi="宋体" w:cs="宋体"/>
          <w:color w:val="000000" w:themeColor="text1"/>
        </w:rPr>
      </w:pPr>
      <w:r>
        <w:rPr>
          <w:rFonts w:hint="eastAsia" w:ascii="宋体" w:hAnsi="宋体" w:cs="宋体"/>
          <w:color w:val="000000" w:themeColor="text1"/>
        </w:rPr>
        <w:t>5、专业教学服务：</w:t>
      </w:r>
    </w:p>
    <w:p>
      <w:pPr>
        <w:pStyle w:val="53"/>
        <w:rPr>
          <w:rFonts w:ascii="宋体" w:hAnsi="宋体" w:cs="宋体"/>
          <w:color w:val="000000" w:themeColor="text1"/>
        </w:rPr>
      </w:pPr>
      <w:r>
        <w:rPr>
          <w:rFonts w:hint="eastAsia" w:ascii="宋体" w:hAnsi="宋体" w:cs="宋体"/>
          <w:color w:val="000000" w:themeColor="text1"/>
        </w:rPr>
        <w:t>6、大学生竞赛服务 ：</w:t>
      </w:r>
    </w:p>
    <w:p>
      <w:pPr>
        <w:pStyle w:val="53"/>
        <w:rPr>
          <w:rFonts w:ascii="宋体" w:hAnsi="宋体" w:cs="宋体"/>
          <w:color w:val="000000" w:themeColor="text1"/>
        </w:rPr>
      </w:pPr>
      <w:r>
        <w:rPr>
          <w:rFonts w:hint="eastAsia" w:ascii="宋体" w:hAnsi="宋体" w:cs="宋体"/>
          <w:color w:val="000000" w:themeColor="text1"/>
        </w:rPr>
        <w:t>7、企业职业认证考试与社会培训：</w:t>
      </w:r>
    </w:p>
    <w:p>
      <w:pPr>
        <w:pStyle w:val="53"/>
        <w:rPr>
          <w:rFonts w:ascii="宋体" w:hAnsi="宋体" w:cs="宋体"/>
          <w:color w:val="000000" w:themeColor="text1"/>
        </w:rPr>
      </w:pPr>
      <w:r>
        <w:rPr>
          <w:rFonts w:hint="eastAsia" w:ascii="宋体" w:hAnsi="宋体" w:cs="宋体"/>
          <w:color w:val="000000" w:themeColor="text1"/>
        </w:rPr>
        <w:t>8、课程资源库开发服务：</w:t>
      </w:r>
    </w:p>
    <w:p>
      <w:pPr>
        <w:pStyle w:val="53"/>
        <w:rPr>
          <w:rFonts w:ascii="宋体" w:hAnsi="宋体" w:cs="宋体"/>
          <w:color w:val="000000" w:themeColor="text1"/>
        </w:rPr>
      </w:pPr>
      <w:r>
        <w:rPr>
          <w:rFonts w:hint="eastAsia" w:ascii="宋体" w:hAnsi="宋体" w:cs="宋体"/>
          <w:color w:val="000000" w:themeColor="text1"/>
        </w:rPr>
        <w:t>9、就业服务：</w:t>
      </w:r>
    </w:p>
    <w:p>
      <w:pPr>
        <w:pStyle w:val="53"/>
        <w:rPr>
          <w:rFonts w:ascii="宋体" w:hAnsi="宋体" w:cs="宋体"/>
          <w:color w:val="000000" w:themeColor="text1"/>
        </w:rPr>
      </w:pPr>
      <w:r>
        <w:rPr>
          <w:rFonts w:hint="eastAsia" w:ascii="宋体" w:hAnsi="宋体" w:cs="宋体"/>
          <w:color w:val="000000" w:themeColor="text1"/>
        </w:rPr>
        <w:t>10、教学管理服务：</w:t>
      </w:r>
    </w:p>
    <w:p>
      <w:pPr>
        <w:pStyle w:val="53"/>
        <w:rPr>
          <w:rFonts w:ascii="宋体" w:hAnsi="宋体" w:cs="宋体"/>
          <w:color w:val="000000" w:themeColor="text1"/>
        </w:rPr>
      </w:pPr>
      <w:r>
        <w:rPr>
          <w:rFonts w:hint="eastAsia" w:ascii="宋体" w:hAnsi="宋体" w:cs="宋体"/>
          <w:color w:val="000000" w:themeColor="text1"/>
        </w:rPr>
        <w:t>11、其他服务承诺：</w:t>
      </w:r>
    </w:p>
    <w:p>
      <w:pPr>
        <w:widowControl/>
        <w:jc w:val="left"/>
        <w:rPr>
          <w:rFonts w:ascii="宋体" w:hAnsi="宋体" w:cs="宋体"/>
          <w:color w:val="000000" w:themeColor="text1"/>
          <w:kern w:val="0"/>
        </w:rPr>
      </w:pPr>
      <w:r>
        <w:rPr>
          <w:rFonts w:hint="eastAsia" w:ascii="宋体" w:hAnsi="宋体" w:cs="宋体"/>
          <w:color w:val="000000" w:themeColor="text1"/>
          <w:kern w:val="0"/>
        </w:rPr>
        <w:br w:type="page"/>
      </w: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十二、方案</w:t>
      </w:r>
    </w:p>
    <w:p>
      <w:pPr>
        <w:widowControl/>
        <w:jc w:val="left"/>
        <w:textAlignment w:val="center"/>
        <w:rPr>
          <w:rFonts w:ascii="宋体" w:hAnsi="宋体" w:cs="宋体"/>
          <w:color w:val="000000" w:themeColor="text1"/>
          <w:kern w:val="0"/>
        </w:rPr>
      </w:pPr>
    </w:p>
    <w:p>
      <w:pPr>
        <w:rPr>
          <w:rFonts w:ascii="宋体" w:hAnsi="宋体" w:cs="宋体"/>
          <w:color w:val="000000" w:themeColor="text1"/>
        </w:rPr>
      </w:pPr>
      <w:r>
        <w:rPr>
          <w:rFonts w:hint="eastAsia" w:ascii="宋体" w:hAnsi="宋体" w:cs="宋体"/>
          <w:color w:val="000000" w:themeColor="text1"/>
        </w:rPr>
        <w:t>一、网络安全学院建设整体方案。（包括：目标、中长期规划、进度安排、组织架构、人员配备、工具配备、项目管理计划等）</w:t>
      </w:r>
    </w:p>
    <w:p>
      <w:pPr>
        <w:pStyle w:val="2"/>
        <w:rPr>
          <w:rFonts w:cs="宋体"/>
          <w:color w:val="000000" w:themeColor="text1"/>
        </w:rPr>
      </w:pPr>
    </w:p>
    <w:p>
      <w:pPr>
        <w:pStyle w:val="2"/>
        <w:rPr>
          <w:rFonts w:cs="宋体"/>
          <w:color w:val="000000" w:themeColor="text1"/>
        </w:rPr>
      </w:pPr>
    </w:p>
    <w:p>
      <w:pPr>
        <w:rPr>
          <w:rFonts w:ascii="宋体" w:hAnsi="宋体" w:cs="宋体"/>
          <w:color w:val="000000" w:themeColor="text1"/>
        </w:rPr>
      </w:pPr>
      <w:r>
        <w:rPr>
          <w:rFonts w:hint="eastAsia" w:ascii="宋体" w:hAnsi="宋体" w:cs="宋体"/>
          <w:color w:val="000000" w:themeColor="text1"/>
        </w:rPr>
        <w:t>二、高于招标要求的服务方案。（包括：师资培训、专业群建设、招生、学生就业、认证体系、社会培训、课程资源库及开发、大学生竞赛等内容）</w:t>
      </w:r>
    </w:p>
    <w:p>
      <w:pPr>
        <w:pStyle w:val="2"/>
        <w:rPr>
          <w:rFonts w:cs="宋体"/>
          <w:color w:val="000000" w:themeColor="text1"/>
        </w:rPr>
      </w:pPr>
    </w:p>
    <w:p>
      <w:pPr>
        <w:pStyle w:val="2"/>
        <w:rPr>
          <w:rFonts w:cs="宋体"/>
          <w:color w:val="000000" w:themeColor="text1"/>
        </w:rPr>
      </w:pPr>
    </w:p>
    <w:p>
      <w:pPr>
        <w:rPr>
          <w:rFonts w:ascii="宋体" w:hAnsi="宋体" w:cs="宋体"/>
          <w:color w:val="000000" w:themeColor="text1"/>
        </w:rPr>
      </w:pPr>
      <w:r>
        <w:rPr>
          <w:rFonts w:hint="eastAsia" w:ascii="宋体" w:hAnsi="宋体" w:cs="宋体"/>
          <w:color w:val="000000" w:themeColor="text1"/>
        </w:rPr>
        <w:t>三、技术方案。实验室实验平台架构特色技术方案。</w:t>
      </w:r>
    </w:p>
    <w:p>
      <w:pPr>
        <w:pStyle w:val="2"/>
        <w:ind w:firstLine="0" w:firstLineChars="0"/>
        <w:rPr>
          <w:color w:val="000000" w:themeColor="text1"/>
        </w:rPr>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7513"/>
    </w:sdtPr>
    <w:sdtContent>
      <w:p>
        <w:pPr>
          <w:pStyle w:val="28"/>
          <w:jc w:val="center"/>
        </w:pPr>
        <w:r>
          <w:rPr>
            <w:rFonts w:hint="eastAsia" w:ascii="宋体" w:hAnsi="宋体"/>
          </w:rPr>
          <w:t xml:space="preserve">─ </w:t>
        </w:r>
        <w:r>
          <w:fldChar w:fldCharType="begin"/>
        </w:r>
        <w:r>
          <w:instrText xml:space="preserve"> PAGE   \* MERGEFORMAT </w:instrText>
        </w:r>
        <w:r>
          <w:fldChar w:fldCharType="separate"/>
        </w:r>
        <w:r>
          <w:rPr>
            <w:lang w:val="zh-CN"/>
          </w:rPr>
          <w:t>-</w:t>
        </w:r>
        <w:r>
          <w:t xml:space="preserve"> 66 -</w:t>
        </w:r>
        <w:r>
          <w:rPr>
            <w:lang w:val="zh-CN"/>
          </w:rPr>
          <w:fldChar w:fldCharType="end"/>
        </w:r>
        <w:r>
          <w:rPr>
            <w:rFonts w:hint="eastAsia" w:ascii="宋体" w:hAnsi="宋体"/>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hint="eastAsia" w:eastAsia="隶书"/>
        <w:spacing w:val="40"/>
        <w:sz w:val="21"/>
        <w:szCs w:val="21"/>
      </w:rPr>
      <w:t>2019-026S-2</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hint="eastAsia" w:eastAsia="隶书"/>
        <w:spacing w:val="40"/>
        <w:sz w:val="21"/>
        <w:szCs w:val="21"/>
      </w:rPr>
      <w:t>2019-026S-2</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C00286"/>
    <w:multiLevelType w:val="singleLevel"/>
    <w:tmpl w:val="FCC00286"/>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6A0F037D"/>
    <w:multiLevelType w:val="singleLevel"/>
    <w:tmpl w:val="6A0F037D"/>
    <w:lvl w:ilvl="0" w:tentative="0">
      <w:start w:val="1"/>
      <w:numFmt w:val="decimal"/>
      <w:lvlText w:val="%1、"/>
      <w:lvlJc w:val="left"/>
      <w:pPr>
        <w:tabs>
          <w:tab w:val="left" w:pos="480"/>
        </w:tabs>
        <w:ind w:left="48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hideSpellingErrors/>
  <w:documentProtection w:enforcement="0"/>
  <w:defaultTabStop w:val="425"/>
  <w:drawingGridHorizontalSpacing w:val="105"/>
  <w:drawingGridVerticalSpacing w:val="145"/>
  <w:noPunctuationKerning w:val="1"/>
  <w:characterSpacingControl w:val="compressPunctuation"/>
  <w:compat>
    <w:spaceForUL/>
    <w:balanceSingleByteDoubleByteWidth/>
    <w:doNotLeaveBackslashAlone/>
    <w:doNotExpandShiftReturn/>
    <w:useFELayout/>
    <w:compatSetting w:name="compatibilityMode" w:uri="http://schemas.microsoft.com/office/word" w:val="12"/>
  </w:compat>
  <w:rsids>
    <w:rsidRoot w:val="006501A8"/>
    <w:rsid w:val="00017670"/>
    <w:rsid w:val="00021733"/>
    <w:rsid w:val="00051757"/>
    <w:rsid w:val="0005280D"/>
    <w:rsid w:val="00070A55"/>
    <w:rsid w:val="000736AF"/>
    <w:rsid w:val="000874A9"/>
    <w:rsid w:val="0009513D"/>
    <w:rsid w:val="000976AC"/>
    <w:rsid w:val="000C2D66"/>
    <w:rsid w:val="000C53F1"/>
    <w:rsid w:val="000E6660"/>
    <w:rsid w:val="000F2CA4"/>
    <w:rsid w:val="000F3240"/>
    <w:rsid w:val="0011779B"/>
    <w:rsid w:val="0014580F"/>
    <w:rsid w:val="001A6BC6"/>
    <w:rsid w:val="001B1133"/>
    <w:rsid w:val="001C434A"/>
    <w:rsid w:val="001F7EAC"/>
    <w:rsid w:val="00210438"/>
    <w:rsid w:val="00217484"/>
    <w:rsid w:val="00237A85"/>
    <w:rsid w:val="002413B1"/>
    <w:rsid w:val="002425CD"/>
    <w:rsid w:val="00264D19"/>
    <w:rsid w:val="002715DA"/>
    <w:rsid w:val="00273CDD"/>
    <w:rsid w:val="002949A6"/>
    <w:rsid w:val="002A5F07"/>
    <w:rsid w:val="002B6E74"/>
    <w:rsid w:val="002B7A4E"/>
    <w:rsid w:val="002C3304"/>
    <w:rsid w:val="002C48A6"/>
    <w:rsid w:val="002D3908"/>
    <w:rsid w:val="002E0C2C"/>
    <w:rsid w:val="002E47A2"/>
    <w:rsid w:val="002E60BF"/>
    <w:rsid w:val="003048A6"/>
    <w:rsid w:val="00314DB3"/>
    <w:rsid w:val="00346EBF"/>
    <w:rsid w:val="00361164"/>
    <w:rsid w:val="00367FF5"/>
    <w:rsid w:val="00377471"/>
    <w:rsid w:val="00395BE8"/>
    <w:rsid w:val="003B562B"/>
    <w:rsid w:val="003C3D7A"/>
    <w:rsid w:val="003E71F1"/>
    <w:rsid w:val="003F14AE"/>
    <w:rsid w:val="004134E2"/>
    <w:rsid w:val="004175FE"/>
    <w:rsid w:val="00422CCE"/>
    <w:rsid w:val="00433DB8"/>
    <w:rsid w:val="00435A90"/>
    <w:rsid w:val="00454DAC"/>
    <w:rsid w:val="00455E09"/>
    <w:rsid w:val="0046600B"/>
    <w:rsid w:val="004933E9"/>
    <w:rsid w:val="004A17CA"/>
    <w:rsid w:val="004A2703"/>
    <w:rsid w:val="004B1DEA"/>
    <w:rsid w:val="004B7802"/>
    <w:rsid w:val="004C0E3B"/>
    <w:rsid w:val="004D0507"/>
    <w:rsid w:val="004E2362"/>
    <w:rsid w:val="004F6015"/>
    <w:rsid w:val="005140B7"/>
    <w:rsid w:val="005373C1"/>
    <w:rsid w:val="005441C6"/>
    <w:rsid w:val="005760D0"/>
    <w:rsid w:val="005A462B"/>
    <w:rsid w:val="005D0B76"/>
    <w:rsid w:val="005E3AA9"/>
    <w:rsid w:val="005E52D6"/>
    <w:rsid w:val="005E604F"/>
    <w:rsid w:val="005F39F9"/>
    <w:rsid w:val="006011AD"/>
    <w:rsid w:val="00626733"/>
    <w:rsid w:val="0063283E"/>
    <w:rsid w:val="006501A8"/>
    <w:rsid w:val="00656609"/>
    <w:rsid w:val="00670747"/>
    <w:rsid w:val="006777F5"/>
    <w:rsid w:val="00694DD4"/>
    <w:rsid w:val="006B5A62"/>
    <w:rsid w:val="006C25B4"/>
    <w:rsid w:val="006C3871"/>
    <w:rsid w:val="006E1F33"/>
    <w:rsid w:val="006E247C"/>
    <w:rsid w:val="00702FB4"/>
    <w:rsid w:val="007134AC"/>
    <w:rsid w:val="007314E9"/>
    <w:rsid w:val="00733C13"/>
    <w:rsid w:val="00736250"/>
    <w:rsid w:val="00742568"/>
    <w:rsid w:val="007467A1"/>
    <w:rsid w:val="007478B1"/>
    <w:rsid w:val="00770BF7"/>
    <w:rsid w:val="007920CE"/>
    <w:rsid w:val="00793B6B"/>
    <w:rsid w:val="0079546F"/>
    <w:rsid w:val="007C192C"/>
    <w:rsid w:val="007C2FBC"/>
    <w:rsid w:val="007D448D"/>
    <w:rsid w:val="007E67E0"/>
    <w:rsid w:val="007F60FC"/>
    <w:rsid w:val="008139F8"/>
    <w:rsid w:val="0082667D"/>
    <w:rsid w:val="00830B91"/>
    <w:rsid w:val="008331CA"/>
    <w:rsid w:val="00836A0A"/>
    <w:rsid w:val="00840965"/>
    <w:rsid w:val="008471B5"/>
    <w:rsid w:val="00847B56"/>
    <w:rsid w:val="00857333"/>
    <w:rsid w:val="008724D5"/>
    <w:rsid w:val="0087374D"/>
    <w:rsid w:val="00875E50"/>
    <w:rsid w:val="008A3EB5"/>
    <w:rsid w:val="008A4C74"/>
    <w:rsid w:val="008A7C1C"/>
    <w:rsid w:val="008B27ED"/>
    <w:rsid w:val="008B66ED"/>
    <w:rsid w:val="008B7322"/>
    <w:rsid w:val="008C71ED"/>
    <w:rsid w:val="008E73CF"/>
    <w:rsid w:val="008F615D"/>
    <w:rsid w:val="00907989"/>
    <w:rsid w:val="00932193"/>
    <w:rsid w:val="0093472B"/>
    <w:rsid w:val="00963697"/>
    <w:rsid w:val="0096422D"/>
    <w:rsid w:val="00980414"/>
    <w:rsid w:val="009848A5"/>
    <w:rsid w:val="00990EC1"/>
    <w:rsid w:val="00991504"/>
    <w:rsid w:val="009A56D2"/>
    <w:rsid w:val="009A7D30"/>
    <w:rsid w:val="009B499A"/>
    <w:rsid w:val="009E1825"/>
    <w:rsid w:val="00A06A8E"/>
    <w:rsid w:val="00A20FB8"/>
    <w:rsid w:val="00A5310A"/>
    <w:rsid w:val="00A66E4B"/>
    <w:rsid w:val="00A71702"/>
    <w:rsid w:val="00A72CE5"/>
    <w:rsid w:val="00A75028"/>
    <w:rsid w:val="00A7743A"/>
    <w:rsid w:val="00A849D6"/>
    <w:rsid w:val="00A9249F"/>
    <w:rsid w:val="00A95E28"/>
    <w:rsid w:val="00A976D3"/>
    <w:rsid w:val="00AB43D7"/>
    <w:rsid w:val="00AB7A84"/>
    <w:rsid w:val="00AC1B5B"/>
    <w:rsid w:val="00AC4844"/>
    <w:rsid w:val="00AE49AA"/>
    <w:rsid w:val="00B177E9"/>
    <w:rsid w:val="00B90498"/>
    <w:rsid w:val="00B92CB9"/>
    <w:rsid w:val="00BA7897"/>
    <w:rsid w:val="00BB70F9"/>
    <w:rsid w:val="00BC10EF"/>
    <w:rsid w:val="00BE4D26"/>
    <w:rsid w:val="00BF63DB"/>
    <w:rsid w:val="00BF742D"/>
    <w:rsid w:val="00C12F55"/>
    <w:rsid w:val="00C16E31"/>
    <w:rsid w:val="00C2698A"/>
    <w:rsid w:val="00C301BB"/>
    <w:rsid w:val="00C35FC7"/>
    <w:rsid w:val="00C47347"/>
    <w:rsid w:val="00C47663"/>
    <w:rsid w:val="00C50230"/>
    <w:rsid w:val="00C57B72"/>
    <w:rsid w:val="00C63E98"/>
    <w:rsid w:val="00C87810"/>
    <w:rsid w:val="00CB11C8"/>
    <w:rsid w:val="00CB3065"/>
    <w:rsid w:val="00CB79E3"/>
    <w:rsid w:val="00CE13CD"/>
    <w:rsid w:val="00CE7C50"/>
    <w:rsid w:val="00D04A67"/>
    <w:rsid w:val="00D17926"/>
    <w:rsid w:val="00D23EB2"/>
    <w:rsid w:val="00D30CA2"/>
    <w:rsid w:val="00D32303"/>
    <w:rsid w:val="00D34E57"/>
    <w:rsid w:val="00D405F6"/>
    <w:rsid w:val="00D50836"/>
    <w:rsid w:val="00D64267"/>
    <w:rsid w:val="00D77041"/>
    <w:rsid w:val="00D77452"/>
    <w:rsid w:val="00D957A5"/>
    <w:rsid w:val="00DB5C3B"/>
    <w:rsid w:val="00DC7D9B"/>
    <w:rsid w:val="00DD22CF"/>
    <w:rsid w:val="00DE60BE"/>
    <w:rsid w:val="00DF4F38"/>
    <w:rsid w:val="00DF7FE9"/>
    <w:rsid w:val="00E0241C"/>
    <w:rsid w:val="00E26676"/>
    <w:rsid w:val="00E27038"/>
    <w:rsid w:val="00E33906"/>
    <w:rsid w:val="00E35BB5"/>
    <w:rsid w:val="00E701E8"/>
    <w:rsid w:val="00E84827"/>
    <w:rsid w:val="00E854EE"/>
    <w:rsid w:val="00E922F7"/>
    <w:rsid w:val="00E950B0"/>
    <w:rsid w:val="00EA249F"/>
    <w:rsid w:val="00F02EF4"/>
    <w:rsid w:val="00F121D6"/>
    <w:rsid w:val="00F26521"/>
    <w:rsid w:val="00F34455"/>
    <w:rsid w:val="00F45E9C"/>
    <w:rsid w:val="00F77E5E"/>
    <w:rsid w:val="00FC0FBE"/>
    <w:rsid w:val="00FE6369"/>
    <w:rsid w:val="00FF60B7"/>
    <w:rsid w:val="011A1693"/>
    <w:rsid w:val="027E7D5E"/>
    <w:rsid w:val="05231E08"/>
    <w:rsid w:val="057430B8"/>
    <w:rsid w:val="05877F36"/>
    <w:rsid w:val="07E30715"/>
    <w:rsid w:val="083046E5"/>
    <w:rsid w:val="08627211"/>
    <w:rsid w:val="087942D0"/>
    <w:rsid w:val="097904F5"/>
    <w:rsid w:val="0A893C14"/>
    <w:rsid w:val="0AF412CF"/>
    <w:rsid w:val="0B076EA7"/>
    <w:rsid w:val="0B2B2329"/>
    <w:rsid w:val="0CF27D21"/>
    <w:rsid w:val="0D39215D"/>
    <w:rsid w:val="0D914CC2"/>
    <w:rsid w:val="0E334589"/>
    <w:rsid w:val="0ED059A0"/>
    <w:rsid w:val="0FA16ECD"/>
    <w:rsid w:val="0FA5352A"/>
    <w:rsid w:val="0FE61E38"/>
    <w:rsid w:val="10322B30"/>
    <w:rsid w:val="111318CD"/>
    <w:rsid w:val="11533CA8"/>
    <w:rsid w:val="120E51D6"/>
    <w:rsid w:val="12455FC2"/>
    <w:rsid w:val="12601375"/>
    <w:rsid w:val="127874F6"/>
    <w:rsid w:val="12E730D7"/>
    <w:rsid w:val="137766DF"/>
    <w:rsid w:val="137E2D78"/>
    <w:rsid w:val="13F849B4"/>
    <w:rsid w:val="142B642A"/>
    <w:rsid w:val="14411B9B"/>
    <w:rsid w:val="14BD3E13"/>
    <w:rsid w:val="15E76ECA"/>
    <w:rsid w:val="17135604"/>
    <w:rsid w:val="17583218"/>
    <w:rsid w:val="188B2785"/>
    <w:rsid w:val="18E468CA"/>
    <w:rsid w:val="19753C81"/>
    <w:rsid w:val="19947E0D"/>
    <w:rsid w:val="1ABE0D42"/>
    <w:rsid w:val="1AD40632"/>
    <w:rsid w:val="1B215179"/>
    <w:rsid w:val="1BEE1915"/>
    <w:rsid w:val="1BF63227"/>
    <w:rsid w:val="1BFE4BFD"/>
    <w:rsid w:val="1C2E6FE6"/>
    <w:rsid w:val="1C5C7791"/>
    <w:rsid w:val="1C7D4A9B"/>
    <w:rsid w:val="1DA54BAB"/>
    <w:rsid w:val="1DB632D8"/>
    <w:rsid w:val="1F16011A"/>
    <w:rsid w:val="1FC47ADF"/>
    <w:rsid w:val="202B566B"/>
    <w:rsid w:val="20376D86"/>
    <w:rsid w:val="205057E4"/>
    <w:rsid w:val="20AC0D0C"/>
    <w:rsid w:val="220B182B"/>
    <w:rsid w:val="22410F08"/>
    <w:rsid w:val="224D1865"/>
    <w:rsid w:val="234B062F"/>
    <w:rsid w:val="23A85655"/>
    <w:rsid w:val="2456728D"/>
    <w:rsid w:val="24922C38"/>
    <w:rsid w:val="261075CE"/>
    <w:rsid w:val="27173BE5"/>
    <w:rsid w:val="2750260D"/>
    <w:rsid w:val="2761503A"/>
    <w:rsid w:val="28A8103D"/>
    <w:rsid w:val="29A81349"/>
    <w:rsid w:val="2B385151"/>
    <w:rsid w:val="2B5A5B07"/>
    <w:rsid w:val="2BB43859"/>
    <w:rsid w:val="2C4E6270"/>
    <w:rsid w:val="2CD125FB"/>
    <w:rsid w:val="2D466106"/>
    <w:rsid w:val="2D523780"/>
    <w:rsid w:val="2D600981"/>
    <w:rsid w:val="2D614B72"/>
    <w:rsid w:val="2E046637"/>
    <w:rsid w:val="2EBC6CC7"/>
    <w:rsid w:val="2EC117B6"/>
    <w:rsid w:val="2EEB1532"/>
    <w:rsid w:val="2F1F46BC"/>
    <w:rsid w:val="2FE661A2"/>
    <w:rsid w:val="3017151C"/>
    <w:rsid w:val="30BA7350"/>
    <w:rsid w:val="311F603C"/>
    <w:rsid w:val="316B2C62"/>
    <w:rsid w:val="334E50AD"/>
    <w:rsid w:val="3369315A"/>
    <w:rsid w:val="33AC0308"/>
    <w:rsid w:val="34AF4AC7"/>
    <w:rsid w:val="35281FBD"/>
    <w:rsid w:val="35BF66A2"/>
    <w:rsid w:val="35D03B97"/>
    <w:rsid w:val="36586196"/>
    <w:rsid w:val="372E12CE"/>
    <w:rsid w:val="374A441E"/>
    <w:rsid w:val="379A2192"/>
    <w:rsid w:val="390F06EC"/>
    <w:rsid w:val="3A6B246B"/>
    <w:rsid w:val="3A8E3ED3"/>
    <w:rsid w:val="3B9A6003"/>
    <w:rsid w:val="3C0D793C"/>
    <w:rsid w:val="3C254D06"/>
    <w:rsid w:val="3C390D1E"/>
    <w:rsid w:val="3C4349C5"/>
    <w:rsid w:val="3C4C2230"/>
    <w:rsid w:val="3D257112"/>
    <w:rsid w:val="3E2808B4"/>
    <w:rsid w:val="3E34230B"/>
    <w:rsid w:val="3EB918CA"/>
    <w:rsid w:val="3ED12C0B"/>
    <w:rsid w:val="3F3175D1"/>
    <w:rsid w:val="3F7B3137"/>
    <w:rsid w:val="3F801DBC"/>
    <w:rsid w:val="40077E9E"/>
    <w:rsid w:val="406B49EC"/>
    <w:rsid w:val="40975328"/>
    <w:rsid w:val="40D54B80"/>
    <w:rsid w:val="40E46EEA"/>
    <w:rsid w:val="418B0594"/>
    <w:rsid w:val="42055707"/>
    <w:rsid w:val="423D1F08"/>
    <w:rsid w:val="4266459B"/>
    <w:rsid w:val="42780186"/>
    <w:rsid w:val="4400332F"/>
    <w:rsid w:val="445D5D4C"/>
    <w:rsid w:val="447F6D19"/>
    <w:rsid w:val="44837030"/>
    <w:rsid w:val="450E6E99"/>
    <w:rsid w:val="45325B00"/>
    <w:rsid w:val="45552904"/>
    <w:rsid w:val="45643D01"/>
    <w:rsid w:val="46471CBF"/>
    <w:rsid w:val="464B5CB7"/>
    <w:rsid w:val="4710235F"/>
    <w:rsid w:val="47E73B0A"/>
    <w:rsid w:val="48952B37"/>
    <w:rsid w:val="49100BA4"/>
    <w:rsid w:val="49A3616C"/>
    <w:rsid w:val="49E74D6E"/>
    <w:rsid w:val="4A100AE3"/>
    <w:rsid w:val="4AD72CCA"/>
    <w:rsid w:val="4B134868"/>
    <w:rsid w:val="4B405AA2"/>
    <w:rsid w:val="4B833520"/>
    <w:rsid w:val="4BBE6982"/>
    <w:rsid w:val="4C181FD6"/>
    <w:rsid w:val="4C25371A"/>
    <w:rsid w:val="4CBD5E24"/>
    <w:rsid w:val="4D1C17BA"/>
    <w:rsid w:val="4D2D29C4"/>
    <w:rsid w:val="4DE6312B"/>
    <w:rsid w:val="4E293407"/>
    <w:rsid w:val="4E777537"/>
    <w:rsid w:val="4FD6150A"/>
    <w:rsid w:val="5009419C"/>
    <w:rsid w:val="50FD1ECB"/>
    <w:rsid w:val="5105497B"/>
    <w:rsid w:val="51E21E6F"/>
    <w:rsid w:val="52411F3D"/>
    <w:rsid w:val="529A3691"/>
    <w:rsid w:val="529F0AAB"/>
    <w:rsid w:val="52C2032A"/>
    <w:rsid w:val="52D14C2A"/>
    <w:rsid w:val="52F80ED0"/>
    <w:rsid w:val="53022DC9"/>
    <w:rsid w:val="5324603C"/>
    <w:rsid w:val="53467B48"/>
    <w:rsid w:val="53AE1234"/>
    <w:rsid w:val="54D937F5"/>
    <w:rsid w:val="54F443D2"/>
    <w:rsid w:val="56103DF8"/>
    <w:rsid w:val="56182E0E"/>
    <w:rsid w:val="576963E7"/>
    <w:rsid w:val="58B35134"/>
    <w:rsid w:val="58BC727B"/>
    <w:rsid w:val="591614F8"/>
    <w:rsid w:val="5B722497"/>
    <w:rsid w:val="5B913B7C"/>
    <w:rsid w:val="5BC35276"/>
    <w:rsid w:val="5C667430"/>
    <w:rsid w:val="5C8D0221"/>
    <w:rsid w:val="5CD23C82"/>
    <w:rsid w:val="5DED5A3F"/>
    <w:rsid w:val="60EF6A80"/>
    <w:rsid w:val="60F20FBC"/>
    <w:rsid w:val="61BB13D2"/>
    <w:rsid w:val="61F22CBA"/>
    <w:rsid w:val="625015A9"/>
    <w:rsid w:val="62E2110D"/>
    <w:rsid w:val="62FB14F5"/>
    <w:rsid w:val="641355EB"/>
    <w:rsid w:val="643C5855"/>
    <w:rsid w:val="64ED35AA"/>
    <w:rsid w:val="65355C4C"/>
    <w:rsid w:val="65AE29E2"/>
    <w:rsid w:val="65BD17A9"/>
    <w:rsid w:val="66647B97"/>
    <w:rsid w:val="66CF6208"/>
    <w:rsid w:val="67A57B05"/>
    <w:rsid w:val="67F16A5B"/>
    <w:rsid w:val="681B75AB"/>
    <w:rsid w:val="689E1957"/>
    <w:rsid w:val="68DB4C3F"/>
    <w:rsid w:val="69FF2F83"/>
    <w:rsid w:val="6A386FDB"/>
    <w:rsid w:val="6AD80A7D"/>
    <w:rsid w:val="6CD81D73"/>
    <w:rsid w:val="6D0F5BDD"/>
    <w:rsid w:val="6EB13674"/>
    <w:rsid w:val="6F492DE9"/>
    <w:rsid w:val="6F7E3D68"/>
    <w:rsid w:val="70612E13"/>
    <w:rsid w:val="70BF71E7"/>
    <w:rsid w:val="718A63FA"/>
    <w:rsid w:val="71A07958"/>
    <w:rsid w:val="73341BD4"/>
    <w:rsid w:val="733D4F50"/>
    <w:rsid w:val="738B207C"/>
    <w:rsid w:val="74DE683D"/>
    <w:rsid w:val="75270C5D"/>
    <w:rsid w:val="75BB5786"/>
    <w:rsid w:val="75E03804"/>
    <w:rsid w:val="75EE122B"/>
    <w:rsid w:val="769402B6"/>
    <w:rsid w:val="769573F1"/>
    <w:rsid w:val="773D5FA6"/>
    <w:rsid w:val="7742537B"/>
    <w:rsid w:val="788B391A"/>
    <w:rsid w:val="78E21A67"/>
    <w:rsid w:val="7A1747E4"/>
    <w:rsid w:val="7A4C7522"/>
    <w:rsid w:val="7A880756"/>
    <w:rsid w:val="7B814255"/>
    <w:rsid w:val="7BEA4D63"/>
    <w:rsid w:val="7C0011A2"/>
    <w:rsid w:val="7C2B6ECA"/>
    <w:rsid w:val="7C6D285B"/>
    <w:rsid w:val="7D9931AE"/>
    <w:rsid w:val="7DAD4FBA"/>
    <w:rsid w:val="7E0C09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18"/>
    <w:qFormat/>
    <w:uiPriority w:val="0"/>
    <w:pPr>
      <w:keepNext/>
      <w:jc w:val="center"/>
      <w:outlineLvl w:val="0"/>
    </w:pPr>
    <w:rPr>
      <w:rFonts w:ascii="楷体_GB2312" w:eastAsia="楷体_GB2312"/>
      <w:sz w:val="28"/>
      <w:szCs w:val="28"/>
    </w:rPr>
  </w:style>
  <w:style w:type="paragraph" w:styleId="5">
    <w:name w:val="heading 2"/>
    <w:basedOn w:val="1"/>
    <w:next w:val="6"/>
    <w:link w:val="55"/>
    <w:qFormat/>
    <w:uiPriority w:val="0"/>
    <w:pPr>
      <w:keepNext/>
      <w:keepLines/>
      <w:spacing w:before="260" w:after="260" w:line="416" w:lineRule="auto"/>
      <w:jc w:val="center"/>
      <w:outlineLvl w:val="1"/>
    </w:pPr>
    <w:rPr>
      <w:rFonts w:ascii="Arial" w:hAnsi="Arial" w:eastAsia="幼圆"/>
      <w:b/>
      <w:bCs/>
      <w:sz w:val="44"/>
      <w:szCs w:val="44"/>
    </w:rPr>
  </w:style>
  <w:style w:type="paragraph" w:styleId="7">
    <w:name w:val="heading 3"/>
    <w:basedOn w:val="1"/>
    <w:next w:val="1"/>
    <w:link w:val="56"/>
    <w:qFormat/>
    <w:uiPriority w:val="9"/>
    <w:pPr>
      <w:keepNext/>
      <w:keepLines/>
      <w:spacing w:line="415" w:lineRule="auto"/>
      <w:outlineLvl w:val="2"/>
    </w:pPr>
    <w:rPr>
      <w:b/>
      <w:bCs/>
      <w:sz w:val="32"/>
      <w:szCs w:val="32"/>
    </w:rPr>
  </w:style>
  <w:style w:type="paragraph" w:styleId="8">
    <w:name w:val="heading 4"/>
    <w:basedOn w:val="1"/>
    <w:next w:val="1"/>
    <w:link w:val="57"/>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qFormat/>
    <w:uiPriority w:val="0"/>
    <w:pPr>
      <w:keepNext/>
      <w:keepLines/>
      <w:spacing w:before="240" w:after="64" w:line="320" w:lineRule="auto"/>
      <w:outlineLvl w:val="6"/>
    </w:pPr>
    <w:rPr>
      <w:b/>
      <w:bCs/>
      <w:sz w:val="24"/>
      <w:szCs w:val="24"/>
    </w:rPr>
  </w:style>
  <w:style w:type="paragraph" w:styleId="12">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qFormat/>
    <w:uiPriority w:val="0"/>
    <w:pPr>
      <w:ind w:firstLine="645"/>
    </w:pPr>
    <w:rPr>
      <w:rFonts w:ascii="楷体_GB2312" w:eastAsia="楷体_GB2312"/>
      <w:sz w:val="32"/>
      <w:szCs w:val="32"/>
    </w:rPr>
  </w:style>
  <w:style w:type="paragraph" w:styleId="6">
    <w:name w:val="Normal Indent"/>
    <w:basedOn w:val="1"/>
    <w:link w:val="54"/>
    <w:qFormat/>
    <w:uiPriority w:val="0"/>
    <w:pPr>
      <w:ind w:firstLine="420"/>
    </w:p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style>
  <w:style w:type="paragraph" w:styleId="16">
    <w:name w:val="Document Map"/>
    <w:basedOn w:val="1"/>
    <w:link w:val="95"/>
    <w:qFormat/>
    <w:uiPriority w:val="99"/>
    <w:pPr>
      <w:shd w:val="clear" w:color="auto" w:fill="000080"/>
    </w:pPr>
  </w:style>
  <w:style w:type="paragraph" w:styleId="17">
    <w:name w:val="annotation text"/>
    <w:basedOn w:val="1"/>
    <w:link w:val="114"/>
    <w:qFormat/>
    <w:uiPriority w:val="0"/>
    <w:pPr>
      <w:jc w:val="left"/>
    </w:pPr>
  </w:style>
  <w:style w:type="paragraph" w:styleId="18">
    <w:name w:val="Body Text 3"/>
    <w:basedOn w:val="1"/>
    <w:qFormat/>
    <w:uiPriority w:val="0"/>
    <w:rPr>
      <w:rFonts w:ascii="仿宋_GB2312" w:hAnsi="Arial" w:eastAsia="仿宋_GB2312"/>
      <w:sz w:val="32"/>
      <w:szCs w:val="32"/>
    </w:rPr>
  </w:style>
  <w:style w:type="paragraph" w:styleId="19">
    <w:name w:val="Body Text"/>
    <w:basedOn w:val="1"/>
    <w:qFormat/>
    <w:uiPriority w:val="1"/>
    <w:rPr>
      <w:rFonts w:ascii="楷体_GB2312" w:hAnsi="Arial" w:eastAsia="楷体_GB2312"/>
      <w:sz w:val="28"/>
      <w:szCs w:val="28"/>
    </w:rPr>
  </w:style>
  <w:style w:type="paragraph" w:styleId="20">
    <w:name w:val="List 2"/>
    <w:basedOn w:val="1"/>
    <w:qFormat/>
    <w:uiPriority w:val="0"/>
    <w:pPr>
      <w:ind w:left="100" w:leftChars="200" w:hanging="200" w:hangingChars="200"/>
    </w:pPr>
  </w:style>
  <w:style w:type="paragraph" w:styleId="21">
    <w:name w:val="toc 5"/>
    <w:basedOn w:val="1"/>
    <w:next w:val="1"/>
    <w:qFormat/>
    <w:uiPriority w:val="0"/>
    <w:pPr>
      <w:ind w:left="840"/>
      <w:jc w:val="left"/>
    </w:pPr>
  </w:style>
  <w:style w:type="paragraph" w:styleId="22">
    <w:name w:val="toc 3"/>
    <w:basedOn w:val="1"/>
    <w:next w:val="1"/>
    <w:qFormat/>
    <w:uiPriority w:val="39"/>
    <w:pPr>
      <w:ind w:left="420"/>
      <w:jc w:val="left"/>
    </w:pPr>
    <w:rPr>
      <w:i/>
      <w:iCs/>
      <w:szCs w:val="24"/>
    </w:rPr>
  </w:style>
  <w:style w:type="paragraph" w:styleId="23">
    <w:name w:val="Plain Text"/>
    <w:basedOn w:val="1"/>
    <w:link w:val="74"/>
    <w:qFormat/>
    <w:uiPriority w:val="0"/>
    <w:rPr>
      <w:rFonts w:ascii="宋体" w:hAnsi="Courier New"/>
    </w:rPr>
  </w:style>
  <w:style w:type="paragraph" w:styleId="24">
    <w:name w:val="toc 8"/>
    <w:basedOn w:val="1"/>
    <w:next w:val="1"/>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Balloon Text"/>
    <w:basedOn w:val="1"/>
    <w:link w:val="96"/>
    <w:qFormat/>
    <w:uiPriority w:val="99"/>
    <w:rPr>
      <w:sz w:val="18"/>
      <w:szCs w:val="18"/>
    </w:rPr>
  </w:style>
  <w:style w:type="paragraph" w:styleId="28">
    <w:name w:val="footer"/>
    <w:basedOn w:val="1"/>
    <w:link w:val="75"/>
    <w:qFormat/>
    <w:uiPriority w:val="99"/>
    <w:pPr>
      <w:tabs>
        <w:tab w:val="center" w:pos="4153"/>
        <w:tab w:val="right" w:pos="8306"/>
      </w:tabs>
      <w:snapToGrid w:val="0"/>
      <w:jc w:val="left"/>
    </w:pPr>
    <w:rPr>
      <w:sz w:val="18"/>
      <w:szCs w:val="18"/>
    </w:rPr>
  </w:style>
  <w:style w:type="paragraph" w:styleId="29">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qFormat/>
    <w:uiPriority w:val="39"/>
    <w:pPr>
      <w:ind w:left="630"/>
      <w:jc w:val="left"/>
    </w:pPr>
  </w:style>
  <w:style w:type="paragraph" w:styleId="32">
    <w:name w:val="List"/>
    <w:basedOn w:val="1"/>
    <w:qFormat/>
    <w:uiPriority w:val="0"/>
    <w:pPr>
      <w:ind w:left="200" w:hanging="200" w:hangingChars="200"/>
    </w:pPr>
  </w:style>
  <w:style w:type="paragraph" w:styleId="33">
    <w:name w:val="toc 6"/>
    <w:basedOn w:val="1"/>
    <w:next w:val="1"/>
    <w:qFormat/>
    <w:uiPriority w:val="0"/>
    <w:pPr>
      <w:ind w:left="1050"/>
      <w:jc w:val="left"/>
    </w:pPr>
  </w:style>
  <w:style w:type="paragraph" w:styleId="34">
    <w:name w:val="Body Text Indent 3"/>
    <w:basedOn w:val="1"/>
    <w:qFormat/>
    <w:uiPriority w:val="0"/>
    <w:pPr>
      <w:ind w:left="645" w:firstLine="645"/>
    </w:pPr>
    <w:rPr>
      <w:rFonts w:ascii="Arial" w:hAnsi="Arial" w:eastAsia="仿宋_GB2312" w:cs="Arial"/>
      <w:color w:val="FFFF00"/>
      <w:sz w:val="32"/>
      <w:szCs w:val="32"/>
    </w:rPr>
  </w:style>
  <w:style w:type="paragraph" w:styleId="35">
    <w:name w:val="table of figures"/>
    <w:basedOn w:val="1"/>
    <w:next w:val="1"/>
    <w:qFormat/>
    <w:uiPriority w:val="0"/>
    <w:pPr>
      <w:ind w:left="840" w:hanging="420"/>
    </w:pPr>
  </w:style>
  <w:style w:type="paragraph" w:styleId="36">
    <w:name w:val="toc 2"/>
    <w:basedOn w:val="1"/>
    <w:next w:val="1"/>
    <w:qFormat/>
    <w:uiPriority w:val="0"/>
    <w:pPr>
      <w:ind w:left="210"/>
      <w:jc w:val="left"/>
    </w:pPr>
    <w:rPr>
      <w:smallCaps/>
      <w:szCs w:val="24"/>
    </w:rPr>
  </w:style>
  <w:style w:type="paragraph" w:styleId="37">
    <w:name w:val="toc 9"/>
    <w:basedOn w:val="1"/>
    <w:next w:val="1"/>
    <w:qFormat/>
    <w:uiPriority w:val="0"/>
    <w:pPr>
      <w:ind w:left="1680"/>
      <w:jc w:val="left"/>
    </w:pPr>
  </w:style>
  <w:style w:type="paragraph" w:styleId="38">
    <w:name w:val="Body Text 2"/>
    <w:basedOn w:val="1"/>
    <w:qFormat/>
    <w:uiPriority w:val="0"/>
    <w:pPr>
      <w:widowControl/>
      <w:jc w:val="center"/>
    </w:pPr>
    <w:rPr>
      <w:rFonts w:ascii="楷体_GB2312" w:eastAsia="楷体_GB2312"/>
      <w:sz w:val="28"/>
      <w:szCs w:val="28"/>
    </w:rPr>
  </w:style>
  <w:style w:type="paragraph" w:styleId="39">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240" w:lineRule="atLeast"/>
    </w:pPr>
    <w:rPr>
      <w:b/>
      <w:bCs/>
    </w:rPr>
  </w:style>
  <w:style w:type="paragraph" w:styleId="42">
    <w:name w:val="Title"/>
    <w:basedOn w:val="1"/>
    <w:next w:val="1"/>
    <w:link w:val="108"/>
    <w:qFormat/>
    <w:uiPriority w:val="10"/>
    <w:pPr>
      <w:widowControl/>
      <w:adjustRightInd w:val="0"/>
      <w:snapToGrid w:val="0"/>
      <w:spacing w:before="240" w:after="60"/>
      <w:jc w:val="center"/>
      <w:outlineLvl w:val="0"/>
    </w:pPr>
    <w:rPr>
      <w:rFonts w:ascii="Cambria" w:hAnsi="Cambria"/>
      <w:b/>
      <w:bCs/>
      <w:kern w:val="0"/>
      <w:sz w:val="32"/>
      <w:szCs w:val="32"/>
    </w:rPr>
  </w:style>
  <w:style w:type="paragraph" w:styleId="43">
    <w:name w:val="annotation subject"/>
    <w:basedOn w:val="17"/>
    <w:next w:val="17"/>
    <w:link w:val="120"/>
    <w:qFormat/>
    <w:uiPriority w:val="99"/>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rFonts w:ascii="仿宋_GB2312" w:eastAsia="仿宋_GB2312" w:cs="仿宋_GB2312"/>
      <w:color w:val="7A4EA7"/>
      <w:u w:val="none"/>
    </w:rPr>
  </w:style>
  <w:style w:type="character" w:styleId="51">
    <w:name w:val="Hyperlink"/>
    <w:qFormat/>
    <w:uiPriority w:val="99"/>
    <w:rPr>
      <w:rFonts w:hint="eastAsia" w:ascii="仿宋_GB2312" w:eastAsia="仿宋_GB2312" w:cs="仿宋_GB2312"/>
      <w:color w:val="7A4EA7"/>
      <w:u w:val="none"/>
    </w:rPr>
  </w:style>
  <w:style w:type="character" w:styleId="52">
    <w:name w:val="annotation reference"/>
    <w:qFormat/>
    <w:uiPriority w:val="99"/>
    <w:rPr>
      <w:sz w:val="21"/>
      <w:szCs w:val="21"/>
    </w:rPr>
  </w:style>
  <w:style w:type="paragraph" w:customStyle="1" w:styleId="5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4">
    <w:name w:val="正文缩进 Char"/>
    <w:link w:val="6"/>
    <w:qFormat/>
    <w:uiPriority w:val="0"/>
    <w:rPr>
      <w:kern w:val="2"/>
      <w:sz w:val="21"/>
      <w:szCs w:val="21"/>
    </w:rPr>
  </w:style>
  <w:style w:type="character" w:customStyle="1" w:styleId="55">
    <w:name w:val="标题 2 Char1"/>
    <w:link w:val="5"/>
    <w:qFormat/>
    <w:uiPriority w:val="0"/>
    <w:rPr>
      <w:rFonts w:ascii="Arial" w:hAnsi="Arial" w:eastAsia="幼圆" w:cs="Arial"/>
      <w:b/>
      <w:bCs/>
      <w:kern w:val="2"/>
      <w:sz w:val="44"/>
      <w:szCs w:val="44"/>
    </w:rPr>
  </w:style>
  <w:style w:type="character" w:customStyle="1" w:styleId="56">
    <w:name w:val="标题 3 Char"/>
    <w:link w:val="7"/>
    <w:qFormat/>
    <w:uiPriority w:val="9"/>
    <w:rPr>
      <w:b/>
      <w:bCs/>
      <w:kern w:val="2"/>
      <w:sz w:val="32"/>
      <w:szCs w:val="32"/>
    </w:rPr>
  </w:style>
  <w:style w:type="character" w:customStyle="1" w:styleId="57">
    <w:name w:val="标题 4 Char"/>
    <w:link w:val="8"/>
    <w:qFormat/>
    <w:uiPriority w:val="0"/>
    <w:rPr>
      <w:rFonts w:ascii="Arial" w:hAnsi="Arial" w:eastAsia="黑体" w:cs="Arial"/>
      <w:b/>
      <w:bCs/>
      <w:kern w:val="2"/>
      <w:sz w:val="28"/>
      <w:szCs w:val="28"/>
    </w:rPr>
  </w:style>
  <w:style w:type="character" w:customStyle="1" w:styleId="58">
    <w:name w:val="HTML 预设格式 Char"/>
    <w:link w:val="39"/>
    <w:qFormat/>
    <w:uiPriority w:val="0"/>
    <w:rPr>
      <w:rFonts w:ascii="黑体" w:hAnsi="Courier New" w:eastAsia="黑体"/>
    </w:rPr>
  </w:style>
  <w:style w:type="character" w:customStyle="1" w:styleId="59">
    <w:name w:val="列出段落 Char"/>
    <w:link w:val="60"/>
    <w:qFormat/>
    <w:uiPriority w:val="0"/>
    <w:rPr>
      <w:rFonts w:ascii="Calibri" w:hAnsi="Calibri"/>
      <w:sz w:val="24"/>
      <w:szCs w:val="24"/>
      <w:lang w:eastAsia="en-US" w:bidi="en-US"/>
    </w:rPr>
  </w:style>
  <w:style w:type="paragraph" w:customStyle="1" w:styleId="60">
    <w:name w:val="列出段落1"/>
    <w:basedOn w:val="1"/>
    <w:link w:val="59"/>
    <w:qFormat/>
    <w:uiPriority w:val="0"/>
    <w:pPr>
      <w:widowControl/>
      <w:ind w:left="720"/>
      <w:contextualSpacing/>
      <w:jc w:val="left"/>
    </w:pPr>
    <w:rPr>
      <w:rFonts w:ascii="Calibri" w:hAnsi="Calibri"/>
      <w:kern w:val="0"/>
      <w:sz w:val="24"/>
      <w:szCs w:val="24"/>
      <w:lang w:eastAsia="en-US" w:bidi="en-US"/>
    </w:rPr>
  </w:style>
  <w:style w:type="character" w:customStyle="1" w:styleId="61">
    <w:name w:val="qowt-font2"/>
    <w:qFormat/>
    <w:uiPriority w:val="0"/>
  </w:style>
  <w:style w:type="character" w:customStyle="1" w:styleId="62">
    <w:name w:val="font41"/>
    <w:basedOn w:val="47"/>
    <w:qFormat/>
    <w:uiPriority w:val="0"/>
    <w:rPr>
      <w:rFonts w:hint="eastAsia" w:ascii="宋体" w:hAnsi="宋体" w:eastAsia="宋体" w:cs="宋体"/>
      <w:color w:val="000000"/>
      <w:sz w:val="18"/>
      <w:szCs w:val="18"/>
      <w:u w:val="none"/>
    </w:rPr>
  </w:style>
  <w:style w:type="character" w:customStyle="1" w:styleId="63">
    <w:name w:val="页眉 Char"/>
    <w:link w:val="29"/>
    <w:qFormat/>
    <w:uiPriority w:val="99"/>
    <w:rPr>
      <w:kern w:val="2"/>
      <w:sz w:val="18"/>
      <w:szCs w:val="18"/>
    </w:rPr>
  </w:style>
  <w:style w:type="character" w:customStyle="1" w:styleId="64">
    <w:name w:val="apple-converted-space"/>
    <w:qFormat/>
    <w:uiPriority w:val="0"/>
  </w:style>
  <w:style w:type="character" w:customStyle="1" w:styleId="65">
    <w:name w:val="HTML 预设格式 Char1"/>
    <w:qFormat/>
    <w:uiPriority w:val="0"/>
    <w:rPr>
      <w:rFonts w:ascii="Courier New" w:hAnsi="Courier New" w:cs="Courier New"/>
      <w:kern w:val="2"/>
    </w:rPr>
  </w:style>
  <w:style w:type="character" w:customStyle="1" w:styleId="66">
    <w:name w:val="font11"/>
    <w:basedOn w:val="47"/>
    <w:qFormat/>
    <w:uiPriority w:val="0"/>
    <w:rPr>
      <w:rFonts w:hint="default" w:ascii="Times New Roman" w:hAnsi="Times New Roman" w:cs="Times New Roman"/>
      <w:color w:val="000000"/>
      <w:sz w:val="18"/>
      <w:szCs w:val="18"/>
      <w:u w:val="none"/>
    </w:rPr>
  </w:style>
  <w:style w:type="character" w:customStyle="1" w:styleId="67">
    <w:name w:val="二级目录 Char"/>
    <w:link w:val="68"/>
    <w:qFormat/>
    <w:uiPriority w:val="0"/>
    <w:rPr>
      <w:b/>
      <w:kern w:val="2"/>
      <w:sz w:val="30"/>
      <w:szCs w:val="28"/>
    </w:rPr>
  </w:style>
  <w:style w:type="paragraph" w:customStyle="1" w:styleId="68">
    <w:name w:val="二级目录"/>
    <w:next w:val="1"/>
    <w:link w:val="67"/>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9">
    <w:name w:val="font61"/>
    <w:basedOn w:val="47"/>
    <w:qFormat/>
    <w:uiPriority w:val="0"/>
    <w:rPr>
      <w:rFonts w:hint="eastAsia" w:ascii="宋体" w:hAnsi="宋体" w:eastAsia="宋体" w:cs="宋体"/>
      <w:color w:val="000000"/>
      <w:sz w:val="18"/>
      <w:szCs w:val="18"/>
      <w:u w:val="none"/>
    </w:rPr>
  </w:style>
  <w:style w:type="character" w:customStyle="1" w:styleId="70">
    <w:name w:val="font81"/>
    <w:qFormat/>
    <w:uiPriority w:val="0"/>
    <w:rPr>
      <w:rFonts w:hint="eastAsia" w:ascii="宋体" w:hAnsi="宋体" w:eastAsia="宋体" w:cs="宋体"/>
      <w:b/>
      <w:color w:val="000000"/>
      <w:sz w:val="24"/>
      <w:szCs w:val="24"/>
      <w:u w:val="single"/>
    </w:rPr>
  </w:style>
  <w:style w:type="character" w:customStyle="1" w:styleId="71">
    <w:name w:val="font21"/>
    <w:basedOn w:val="47"/>
    <w:qFormat/>
    <w:uiPriority w:val="0"/>
    <w:rPr>
      <w:rFonts w:hint="eastAsia" w:ascii="宋体" w:hAnsi="宋体" w:eastAsia="宋体" w:cs="宋体"/>
      <w:b/>
      <w:color w:val="000000"/>
      <w:sz w:val="24"/>
      <w:szCs w:val="24"/>
      <w:u w:val="none"/>
    </w:rPr>
  </w:style>
  <w:style w:type="character" w:customStyle="1" w:styleId="72">
    <w:name w:val="font5 Char"/>
    <w:qFormat/>
    <w:uiPriority w:val="0"/>
    <w:rPr>
      <w:rFonts w:ascii="宋体" w:hAnsi="宋体" w:eastAsia="宋体"/>
      <w:sz w:val="28"/>
      <w:szCs w:val="28"/>
      <w:lang w:val="en-US" w:eastAsia="zh-CN" w:bidi="ar-SA"/>
    </w:rPr>
  </w:style>
  <w:style w:type="character" w:customStyle="1" w:styleId="73">
    <w:name w:val="font51"/>
    <w:basedOn w:val="47"/>
    <w:qFormat/>
    <w:uiPriority w:val="0"/>
    <w:rPr>
      <w:rFonts w:hint="default" w:ascii="Times New Roman" w:hAnsi="Times New Roman" w:cs="Times New Roman"/>
      <w:color w:val="000000"/>
      <w:sz w:val="18"/>
      <w:szCs w:val="18"/>
      <w:u w:val="none"/>
    </w:rPr>
  </w:style>
  <w:style w:type="character" w:customStyle="1" w:styleId="74">
    <w:name w:val="纯文本 Char"/>
    <w:link w:val="23"/>
    <w:qFormat/>
    <w:uiPriority w:val="0"/>
    <w:rPr>
      <w:rFonts w:ascii="宋体" w:hAnsi="Courier New" w:cs="Courier New"/>
      <w:kern w:val="2"/>
      <w:sz w:val="21"/>
      <w:szCs w:val="21"/>
    </w:rPr>
  </w:style>
  <w:style w:type="character" w:customStyle="1" w:styleId="75">
    <w:name w:val="页脚 Char"/>
    <w:basedOn w:val="47"/>
    <w:link w:val="28"/>
    <w:qFormat/>
    <w:uiPriority w:val="99"/>
    <w:rPr>
      <w:kern w:val="2"/>
      <w:sz w:val="18"/>
      <w:szCs w:val="18"/>
    </w:rPr>
  </w:style>
  <w:style w:type="paragraph" w:customStyle="1" w:styleId="76">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7">
    <w:name w:val="Body Text(ch)"/>
    <w:basedOn w:val="1"/>
    <w:next w:val="19"/>
    <w:qFormat/>
    <w:uiPriority w:val="0"/>
    <w:pPr>
      <w:spacing w:after="120"/>
    </w:pPr>
    <w:rPr>
      <w:rFonts w:ascii="宋体" w:hAnsi="Arial"/>
      <w:bCs/>
      <w:iCs/>
      <w:szCs w:val="24"/>
    </w:rPr>
  </w:style>
  <w:style w:type="paragraph" w:customStyle="1" w:styleId="7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0">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3">
    <w:name w:val="Char Char Char Char Char Char Char Char Char Char"/>
    <w:basedOn w:val="1"/>
    <w:qFormat/>
    <w:uiPriority w:val="0"/>
    <w:pPr>
      <w:adjustRightInd w:val="0"/>
      <w:spacing w:line="360" w:lineRule="auto"/>
    </w:pPr>
    <w:rPr>
      <w:kern w:val="0"/>
      <w:sz w:val="24"/>
      <w:szCs w:val="20"/>
    </w:rPr>
  </w:style>
  <w:style w:type="paragraph" w:customStyle="1" w:styleId="8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5">
    <w:name w:val="4"/>
    <w:basedOn w:val="1"/>
    <w:next w:val="34"/>
    <w:qFormat/>
    <w:uiPriority w:val="0"/>
    <w:pPr>
      <w:spacing w:line="360" w:lineRule="auto"/>
      <w:ind w:firstLine="420"/>
    </w:pPr>
    <w:rPr>
      <w:color w:val="FF0000"/>
      <w:sz w:val="24"/>
      <w:szCs w:val="24"/>
    </w:rPr>
  </w:style>
  <w:style w:type="paragraph" w:customStyle="1" w:styleId="8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table_lines"/>
    <w:basedOn w:val="1"/>
    <w:qFormat/>
    <w:uiPriority w:val="0"/>
    <w:pPr>
      <w:widowControl/>
      <w:jc w:val="left"/>
    </w:pPr>
    <w:rPr>
      <w:kern w:val="0"/>
      <w:sz w:val="20"/>
      <w:szCs w:val="20"/>
      <w:lang w:val="de-DE" w:eastAsia="de-DE"/>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9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4">
    <w:name w:val="Char1"/>
    <w:basedOn w:val="16"/>
    <w:qFormat/>
    <w:uiPriority w:val="0"/>
    <w:rPr>
      <w:rFonts w:ascii="Tahoma" w:hAnsi="Tahoma"/>
      <w:sz w:val="24"/>
      <w:szCs w:val="24"/>
    </w:rPr>
  </w:style>
  <w:style w:type="character" w:customStyle="1" w:styleId="95">
    <w:name w:val="文档结构图 Char"/>
    <w:basedOn w:val="47"/>
    <w:link w:val="16"/>
    <w:qFormat/>
    <w:uiPriority w:val="99"/>
    <w:rPr>
      <w:kern w:val="2"/>
      <w:sz w:val="21"/>
      <w:szCs w:val="21"/>
      <w:shd w:val="clear" w:color="auto" w:fill="000080"/>
    </w:rPr>
  </w:style>
  <w:style w:type="character" w:customStyle="1" w:styleId="96">
    <w:name w:val="批注框文本 Char"/>
    <w:basedOn w:val="47"/>
    <w:link w:val="27"/>
    <w:qFormat/>
    <w:uiPriority w:val="99"/>
    <w:rPr>
      <w:kern w:val="2"/>
      <w:sz w:val="18"/>
      <w:szCs w:val="18"/>
    </w:rPr>
  </w:style>
  <w:style w:type="paragraph" w:customStyle="1" w:styleId="9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styleId="101">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2">
    <w:name w:val="table_1stline"/>
    <w:basedOn w:val="1"/>
    <w:qFormat/>
    <w:uiPriority w:val="0"/>
    <w:pPr>
      <w:widowControl/>
      <w:spacing w:before="120"/>
      <w:jc w:val="left"/>
    </w:pPr>
    <w:rPr>
      <w:bCs/>
      <w:kern w:val="0"/>
      <w:sz w:val="20"/>
      <w:szCs w:val="20"/>
      <w:lang w:val="de-DE" w:eastAsia="de-DE"/>
    </w:rPr>
  </w:style>
  <w:style w:type="paragraph" w:customStyle="1" w:styleId="103">
    <w:name w:val="Char Char Char Char"/>
    <w:basedOn w:val="16"/>
    <w:qFormat/>
    <w:uiPriority w:val="0"/>
    <w:pPr>
      <w:adjustRightInd w:val="0"/>
      <w:snapToGrid w:val="0"/>
      <w:spacing w:line="360" w:lineRule="auto"/>
    </w:pPr>
    <w:rPr>
      <w:rFonts w:ascii="Tahoma" w:hAnsi="Tahoma"/>
      <w:sz w:val="24"/>
      <w:szCs w:val="24"/>
    </w:rPr>
  </w:style>
  <w:style w:type="paragraph" w:customStyle="1" w:styleId="104">
    <w:name w:val="Char Char Char Char1"/>
    <w:basedOn w:val="16"/>
    <w:qFormat/>
    <w:uiPriority w:val="0"/>
    <w:pPr>
      <w:adjustRightInd w:val="0"/>
      <w:snapToGrid w:val="0"/>
      <w:spacing w:line="360" w:lineRule="auto"/>
    </w:pPr>
    <w:rPr>
      <w:rFonts w:ascii="Tahoma" w:hAnsi="Tahoma"/>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108">
    <w:name w:val="标题 Char"/>
    <w:basedOn w:val="47"/>
    <w:link w:val="42"/>
    <w:qFormat/>
    <w:uiPriority w:val="10"/>
    <w:rPr>
      <w:rFonts w:ascii="Cambria" w:hAnsi="Cambria" w:cs="Times New Roman"/>
      <w:b/>
      <w:bCs/>
      <w:sz w:val="32"/>
      <w:szCs w:val="32"/>
    </w:rPr>
  </w:style>
  <w:style w:type="paragraph" w:customStyle="1" w:styleId="109">
    <w:name w:val="_Style 13"/>
    <w:basedOn w:val="1"/>
    <w:next w:val="101"/>
    <w:qFormat/>
    <w:uiPriority w:val="34"/>
    <w:pPr>
      <w:ind w:firstLine="420" w:firstLineChars="200"/>
    </w:pPr>
    <w:rPr>
      <w:szCs w:val="24"/>
    </w:rPr>
  </w:style>
  <w:style w:type="character" w:customStyle="1" w:styleId="110">
    <w:name w:val="font71"/>
    <w:basedOn w:val="47"/>
    <w:qFormat/>
    <w:uiPriority w:val="0"/>
    <w:rPr>
      <w:rFonts w:hint="default" w:ascii="等线" w:hAnsi="等线" w:eastAsia="等线" w:cs="等线"/>
      <w:b/>
      <w:color w:val="000000"/>
      <w:sz w:val="21"/>
      <w:szCs w:val="21"/>
      <w:u w:val="none"/>
    </w:rPr>
  </w:style>
  <w:style w:type="character" w:customStyle="1" w:styleId="111">
    <w:name w:val="font31"/>
    <w:basedOn w:val="47"/>
    <w:qFormat/>
    <w:uiPriority w:val="0"/>
    <w:rPr>
      <w:rFonts w:hint="default" w:ascii="Times New Roman" w:hAnsi="Times New Roman" w:cs="Times New Roman"/>
      <w:color w:val="000000"/>
      <w:sz w:val="21"/>
      <w:szCs w:val="21"/>
      <w:u w:val="none"/>
    </w:rPr>
  </w:style>
  <w:style w:type="paragraph" w:customStyle="1" w:styleId="112">
    <w:name w:val="WPSOffice手动目录 1"/>
    <w:qFormat/>
    <w:uiPriority w:val="0"/>
    <w:rPr>
      <w:rFonts w:ascii="Times New Roman" w:hAnsi="Times New Roman" w:eastAsia="宋体" w:cs="Times New Roman"/>
      <w:lang w:val="en-US" w:eastAsia="zh-CN" w:bidi="ar-SA"/>
    </w:rPr>
  </w:style>
  <w:style w:type="paragraph" w:customStyle="1" w:styleId="11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4">
    <w:name w:val="批注文字 Char"/>
    <w:basedOn w:val="47"/>
    <w:link w:val="17"/>
    <w:qFormat/>
    <w:uiPriority w:val="0"/>
    <w:rPr>
      <w:kern w:val="2"/>
      <w:sz w:val="21"/>
      <w:szCs w:val="21"/>
    </w:rPr>
  </w:style>
  <w:style w:type="character" w:customStyle="1" w:styleId="115">
    <w:name w:val="font01"/>
    <w:basedOn w:val="47"/>
    <w:qFormat/>
    <w:uiPriority w:val="0"/>
    <w:rPr>
      <w:rFonts w:hint="default" w:ascii="Times New Roman" w:hAnsi="Times New Roman" w:cs="Times New Roman"/>
      <w:i/>
      <w:color w:val="000000"/>
      <w:sz w:val="22"/>
      <w:szCs w:val="22"/>
      <w:u w:val="none"/>
    </w:rPr>
  </w:style>
  <w:style w:type="paragraph" w:customStyle="1" w:styleId="116">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17">
    <w:name w:val="网格表 1 浅色 - 着色 21"/>
    <w:basedOn w:val="45"/>
    <w:qFormat/>
    <w:uiPriority w:val="46"/>
    <w:tblPr>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CellMar>
        <w:top w:w="0" w:type="dxa"/>
        <w:left w:w="108" w:type="dxa"/>
        <w:bottom w:w="0" w:type="dxa"/>
        <w:right w:w="108" w:type="dxa"/>
      </w:tblCellMar>
    </w:tblPr>
    <w:tblStylePr w:type="firstRow">
      <w:rPr>
        <w:b/>
        <w:bCs/>
      </w:rPr>
      <w:tcPr>
        <w:tcBorders>
          <w:top w:val="nil"/>
          <w:left w:val="nil"/>
          <w:bottom w:val="single" w:color="F4B083" w:sz="12" w:space="0"/>
          <w:right w:val="nil"/>
          <w:insideH w:val="nil"/>
          <w:insideV w:val="nil"/>
          <w:tl2br w:val="nil"/>
          <w:tr2bl w:val="nil"/>
        </w:tcBorders>
      </w:tcPr>
    </w:tblStylePr>
    <w:tblStylePr w:type="lastRow">
      <w:rPr>
        <w:b/>
        <w:bCs/>
      </w:rPr>
      <w:tcPr>
        <w:tcBorders>
          <w:top w:val="double" w:color="F4B083"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118">
    <w:name w:val="标题 1 Char"/>
    <w:basedOn w:val="47"/>
    <w:link w:val="4"/>
    <w:qFormat/>
    <w:uiPriority w:val="0"/>
    <w:rPr>
      <w:rFonts w:ascii="楷体_GB2312" w:eastAsia="楷体_GB2312"/>
      <w:kern w:val="2"/>
      <w:sz w:val="28"/>
      <w:szCs w:val="28"/>
    </w:rPr>
  </w:style>
  <w:style w:type="character" w:customStyle="1" w:styleId="119">
    <w:name w:val="标题 2 Char"/>
    <w:basedOn w:val="47"/>
    <w:qFormat/>
    <w:uiPriority w:val="9"/>
    <w:rPr>
      <w:rFonts w:ascii="Cambria" w:hAnsi="Cambria" w:eastAsia="宋体" w:cs="宋体"/>
      <w:b/>
      <w:bCs/>
      <w:kern w:val="2"/>
      <w:sz w:val="32"/>
      <w:szCs w:val="32"/>
    </w:rPr>
  </w:style>
  <w:style w:type="character" w:customStyle="1" w:styleId="120">
    <w:name w:val="批注主题 Char"/>
    <w:basedOn w:val="114"/>
    <w:link w:val="43"/>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D2DB5-912C-40A2-9C97-E8789E79DFB4}">
  <ds:schemaRefs/>
</ds:datastoreItem>
</file>

<file path=docProps/app.xml><?xml version="1.0" encoding="utf-8"?>
<Properties xmlns="http://schemas.openxmlformats.org/officeDocument/2006/extended-properties" xmlns:vt="http://schemas.openxmlformats.org/officeDocument/2006/docPropsVTypes">
  <Template>Normal</Template>
  <Company>yy</Company>
  <Pages>69</Pages>
  <Words>8499</Words>
  <Characters>48449</Characters>
  <Lines>403</Lines>
  <Paragraphs>113</Paragraphs>
  <TotalTime>70</TotalTime>
  <ScaleCrop>false</ScaleCrop>
  <LinksUpToDate>false</LinksUpToDate>
  <CharactersWithSpaces>56835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2019-11-08T00:37:00Z</dcterms:created>
  <dc:creator>政府采购中心</dc:creator>
  <cp:lastModifiedBy>user</cp:lastModifiedBy>
  <cp:lastPrinted>2019-09-04T01:17:00Z</cp:lastPrinted>
  <dcterms:modified xsi:type="dcterms:W3CDTF">2019-11-13T06:53:07Z</dcterms:modified>
  <dc:title>江苏卫生信息系统业务软件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