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AC6E57">
        <w:rPr>
          <w:rFonts w:hint="eastAsia"/>
          <w:b/>
          <w:bCs/>
          <w:sz w:val="32"/>
        </w:rPr>
        <w:t>摄影工作室移动工作站</w:t>
      </w:r>
      <w:r w:rsidR="00DA1202">
        <w:rPr>
          <w:rFonts w:hint="eastAsia"/>
          <w:b/>
          <w:bCs/>
          <w:sz w:val="32"/>
        </w:rPr>
        <w:t>设备</w:t>
      </w:r>
      <w:r w:rsidR="009A1410">
        <w:rPr>
          <w:rFonts w:hint="eastAsia"/>
          <w:b/>
          <w:bCs/>
          <w:sz w:val="32"/>
        </w:rPr>
        <w:t>协议供货采购报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E574B5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GYWZXY2017-01</w:t>
      </w:r>
      <w:r w:rsidR="00DA1202">
        <w:rPr>
          <w:rFonts w:ascii="Microsoft Yahei" w:hAnsi="Microsoft Yahei" w:cs="宋体" w:hint="eastAsia"/>
          <w:color w:val="000000"/>
          <w:kern w:val="36"/>
          <w:sz w:val="27"/>
          <w:szCs w:val="27"/>
        </w:rPr>
        <w:t>2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10170" w:type="dxa"/>
        <w:jc w:val="center"/>
        <w:tblLook w:val="04A0"/>
      </w:tblPr>
      <w:tblGrid>
        <w:gridCol w:w="1136"/>
        <w:gridCol w:w="679"/>
        <w:gridCol w:w="2800"/>
        <w:gridCol w:w="763"/>
        <w:gridCol w:w="732"/>
        <w:gridCol w:w="1278"/>
        <w:gridCol w:w="1417"/>
        <w:gridCol w:w="1365"/>
      </w:tblGrid>
      <w:tr w:rsidR="00DA1202" w:rsidRPr="00596D5E" w:rsidTr="00DD368A">
        <w:trPr>
          <w:trHeight w:val="82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>
              <w:rPr>
                <w:rFonts w:ascii="宋体" w:hAnsi="宋体" w:cs="宋体" w:hint="eastAsia"/>
                <w:kern w:val="0"/>
                <w:sz w:val="24"/>
              </w:rPr>
              <w:t>规格及技术参数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202" w:rsidRPr="00596D5E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202" w:rsidRDefault="00DA1202" w:rsidP="00DA1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质保服务</w:t>
            </w:r>
            <w:r w:rsidR="00E15859"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</w:tr>
      <w:tr w:rsidR="001B7DFD" w:rsidRPr="00596D5E" w:rsidTr="00DD368A">
        <w:trPr>
          <w:trHeight w:val="9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移动工作站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AC6E57" w:rsidP="001B7DFD">
            <w:pPr>
              <w:pStyle w:val="a3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DELLPrecision 5520 15.6英寸移动工作站。M1200-4G无线蓝牙/背光/</w:t>
            </w:r>
            <w:r>
              <w:rPr>
                <w:rFonts w:asciiTheme="minorEastAsia" w:eastAsiaTheme="minorEastAsia" w:hAnsiTheme="minorEastAsia"/>
                <w:sz w:val="24"/>
              </w:rPr>
              <w:t>4K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触摸/原厂自带正版 WIN10专业版，E3-1505MV6，32G内存3.3DW，1T固态，三年硬盘不返还白金服务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1B7DFD" w:rsidRDefault="001B7DFD" w:rsidP="00AC6E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提供</w:t>
            </w:r>
            <w:r w:rsidR="00AC6E57">
              <w:rPr>
                <w:rFonts w:asciiTheme="minorEastAsia" w:eastAsiaTheme="minorEastAsia" w:hAnsiTheme="minorEastAsia" w:hint="eastAsia"/>
                <w:sz w:val="24"/>
              </w:rPr>
              <w:t>原厂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3年质保</w:t>
            </w:r>
            <w:r w:rsidR="00AC6E57">
              <w:rPr>
                <w:rFonts w:asciiTheme="minorEastAsia" w:eastAsiaTheme="minorEastAsia" w:hAnsiTheme="minorEastAsia" w:hint="eastAsia"/>
                <w:sz w:val="24"/>
              </w:rPr>
              <w:t>承诺函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1B7DFD">
              <w:rPr>
                <w:rFonts w:asciiTheme="minorEastAsia" w:eastAsiaTheme="minorEastAsia" w:hAnsiTheme="minorEastAsia"/>
                <w:sz w:val="24"/>
              </w:rPr>
              <w:t>系统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终身免费维护</w:t>
            </w:r>
          </w:p>
        </w:tc>
      </w:tr>
      <w:tr w:rsidR="001B7DFD" w:rsidRPr="00596D5E" w:rsidTr="00DD368A">
        <w:trPr>
          <w:trHeight w:val="9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移动工作站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AC6E57" w:rsidP="001B7DF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DELLPrecision 5520 15.6英寸移动工作站i7-7820HQ   16G内存 256G固态硬盘  M1200 4G独显  /原厂自带正版 WIN10专业版，三年硬盘不返还白金服务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1B7DFD" w:rsidRDefault="001B7DFD" w:rsidP="00AC6E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B7DFD">
              <w:rPr>
                <w:rFonts w:asciiTheme="minorEastAsia" w:eastAsiaTheme="minorEastAsia" w:hAnsiTheme="minorEastAsia" w:hint="eastAsia"/>
                <w:sz w:val="24"/>
              </w:rPr>
              <w:t>提供</w:t>
            </w:r>
            <w:r w:rsidR="00AC6E57">
              <w:rPr>
                <w:rFonts w:asciiTheme="minorEastAsia" w:eastAsiaTheme="minorEastAsia" w:hAnsiTheme="minorEastAsia" w:hint="eastAsia"/>
                <w:sz w:val="24"/>
              </w:rPr>
              <w:t>原厂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3年质保</w:t>
            </w:r>
            <w:r w:rsidR="00AC6E57">
              <w:rPr>
                <w:rFonts w:asciiTheme="minorEastAsia" w:eastAsiaTheme="minorEastAsia" w:hAnsiTheme="minorEastAsia" w:hint="eastAsia"/>
                <w:sz w:val="24"/>
              </w:rPr>
              <w:t>函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1B7DFD">
              <w:rPr>
                <w:rFonts w:asciiTheme="minorEastAsia" w:eastAsiaTheme="minorEastAsia" w:hAnsiTheme="minorEastAsia"/>
                <w:sz w:val="24"/>
              </w:rPr>
              <w:t>系统</w:t>
            </w:r>
            <w:r w:rsidRPr="001B7DFD">
              <w:rPr>
                <w:rFonts w:asciiTheme="minorEastAsia" w:eastAsiaTheme="minorEastAsia" w:hAnsiTheme="minorEastAsia" w:hint="eastAsia"/>
                <w:sz w:val="24"/>
              </w:rPr>
              <w:t>终身免费维护</w:t>
            </w:r>
          </w:p>
        </w:tc>
      </w:tr>
      <w:tr w:rsidR="001B7DFD" w:rsidRPr="00596D5E" w:rsidTr="00DD368A">
        <w:trPr>
          <w:trHeight w:val="9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4763A8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电脑包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高尔夫</w:t>
            </w:r>
            <w:r w:rsidRPr="001B7DFD">
              <w:rPr>
                <w:rFonts w:hint="eastAsia"/>
                <w:sz w:val="24"/>
              </w:rPr>
              <w:t>GOLF</w:t>
            </w:r>
            <w:r w:rsidRPr="001B7DFD">
              <w:rPr>
                <w:rFonts w:hint="eastAsia"/>
                <w:sz w:val="24"/>
              </w:rPr>
              <w:t>多用男士双肩包</w:t>
            </w:r>
          </w:p>
          <w:p w:rsidR="001B7DFD" w:rsidRPr="001B7DFD" w:rsidRDefault="001B7DFD" w:rsidP="004763A8">
            <w:pPr>
              <w:pStyle w:val="a3"/>
              <w:jc w:val="left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可装</w:t>
            </w:r>
            <w:r w:rsidRPr="001B7DFD">
              <w:rPr>
                <w:rFonts w:hint="eastAsia"/>
                <w:sz w:val="24"/>
              </w:rPr>
              <w:t>15.6</w:t>
            </w:r>
            <w:r w:rsidRPr="001B7DFD">
              <w:rPr>
                <w:rFonts w:hint="eastAsia"/>
                <w:sz w:val="24"/>
              </w:rPr>
              <w:t>英寸移动工作站</w:t>
            </w:r>
          </w:p>
          <w:p w:rsidR="001B7DFD" w:rsidRPr="001B7DFD" w:rsidRDefault="001B7DFD" w:rsidP="004763A8">
            <w:pPr>
              <w:pStyle w:val="a3"/>
              <w:jc w:val="left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黑色，手提</w:t>
            </w:r>
            <w:r w:rsidRPr="001B7DFD">
              <w:rPr>
                <w:rFonts w:hint="eastAsia"/>
                <w:sz w:val="24"/>
              </w:rPr>
              <w:t>/</w:t>
            </w:r>
            <w:r w:rsidRPr="001B7DFD">
              <w:rPr>
                <w:rFonts w:hint="eastAsia"/>
                <w:sz w:val="24"/>
              </w:rPr>
              <w:t>双肩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DD368A">
        <w:trPr>
          <w:trHeight w:val="9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4763A8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鼠标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AC6E57" w:rsidP="004763A8">
            <w:pPr>
              <w:pStyle w:val="a3"/>
              <w:jc w:val="left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罗技（Logitech） 无线鼠标 无线蓝牙优联双模跨计算机控 MX Master 2S 儒雅黑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DD368A">
        <w:trPr>
          <w:trHeight w:val="9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4763A8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键盘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AC6E57" w:rsidP="001B7DFD">
            <w:pPr>
              <w:pStyle w:val="a3"/>
              <w:jc w:val="both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罗技（Logitech） Craft无线键盘-深灰 智能控制旋钮 蓝牙优联双模式连接 Craft-灰色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DD368A">
        <w:trPr>
          <w:trHeight w:val="9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1B7DFD" w:rsidRDefault="001B7DFD" w:rsidP="001B7DFD">
            <w:pPr>
              <w:pStyle w:val="a3"/>
              <w:jc w:val="both"/>
              <w:rPr>
                <w:sz w:val="24"/>
              </w:rPr>
            </w:pPr>
            <w:r w:rsidRPr="001B7DFD">
              <w:rPr>
                <w:rFonts w:hint="eastAsia"/>
                <w:sz w:val="24"/>
              </w:rPr>
              <w:t>移动硬盘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E57" w:rsidRDefault="00AC6E57" w:rsidP="00AC6E57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 w:val="24"/>
              </w:rPr>
              <w:t xml:space="preserve">西部数据（WD）My Passport SSD 1TB 2.5英寸 移动固态硬WDBK3E0010PSL-WESN </w:t>
            </w:r>
          </w:p>
          <w:p w:rsidR="001B7DFD" w:rsidRPr="001B7DFD" w:rsidRDefault="00AC6E57" w:rsidP="00AC6E57">
            <w:pPr>
              <w:pStyle w:val="a3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官方保护包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Default="001B7DFD" w:rsidP="00596D5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B7DFD" w:rsidRPr="00596D5E" w:rsidTr="00DD368A">
        <w:trPr>
          <w:trHeight w:val="810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DFD" w:rsidRPr="00596D5E" w:rsidRDefault="001B7DFD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元）。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7DFD" w:rsidRPr="00596D5E" w:rsidRDefault="001B7DFD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B7DFD" w:rsidRPr="00596D5E" w:rsidRDefault="001B7DFD" w:rsidP="00596D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A1410" w:rsidRDefault="009A1410" w:rsidP="001B7DFD">
      <w:pPr>
        <w:adjustRightInd w:val="0"/>
        <w:snapToGrid w:val="0"/>
        <w:spacing w:line="360" w:lineRule="auto"/>
        <w:rPr>
          <w:b/>
          <w:sz w:val="24"/>
        </w:rPr>
      </w:pPr>
    </w:p>
    <w:p w:rsidR="007976C0" w:rsidRDefault="00CE13DE" w:rsidP="00DD368A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27B81" w:rsidRPr="008F1186" w:rsidRDefault="00171CC4" w:rsidP="00DD368A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0D163D" w:rsidRPr="00AB3AB1" w:rsidRDefault="00C95B95" w:rsidP="00AB3AB1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sectPr w:rsidR="000D163D" w:rsidRPr="00AB3AB1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5E0" w:rsidRDefault="00D725E0" w:rsidP="009A1410">
      <w:r>
        <w:separator/>
      </w:r>
    </w:p>
  </w:endnote>
  <w:endnote w:type="continuationSeparator" w:id="1">
    <w:p w:rsidR="00D725E0" w:rsidRDefault="00D725E0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5E0" w:rsidRDefault="00D725E0" w:rsidP="009A1410">
      <w:r>
        <w:separator/>
      </w:r>
    </w:p>
  </w:footnote>
  <w:footnote w:type="continuationSeparator" w:id="1">
    <w:p w:rsidR="00D725E0" w:rsidRDefault="00D725E0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0168A"/>
    <w:rsid w:val="00045335"/>
    <w:rsid w:val="00060C90"/>
    <w:rsid w:val="00085891"/>
    <w:rsid w:val="000861AA"/>
    <w:rsid w:val="00090F08"/>
    <w:rsid w:val="00096C78"/>
    <w:rsid w:val="000C1C11"/>
    <w:rsid w:val="000D0759"/>
    <w:rsid w:val="000D163D"/>
    <w:rsid w:val="000F708C"/>
    <w:rsid w:val="0014427F"/>
    <w:rsid w:val="00153A3F"/>
    <w:rsid w:val="00156326"/>
    <w:rsid w:val="001574BA"/>
    <w:rsid w:val="00171CC4"/>
    <w:rsid w:val="001A4B98"/>
    <w:rsid w:val="001B7DFD"/>
    <w:rsid w:val="001C38CB"/>
    <w:rsid w:val="001C67E2"/>
    <w:rsid w:val="001E0E82"/>
    <w:rsid w:val="001E7498"/>
    <w:rsid w:val="001F397D"/>
    <w:rsid w:val="002229C6"/>
    <w:rsid w:val="002459FF"/>
    <w:rsid w:val="00246B9C"/>
    <w:rsid w:val="0029718C"/>
    <w:rsid w:val="002E187D"/>
    <w:rsid w:val="002E3891"/>
    <w:rsid w:val="0032099E"/>
    <w:rsid w:val="00336CF5"/>
    <w:rsid w:val="0034242E"/>
    <w:rsid w:val="00342A53"/>
    <w:rsid w:val="00361921"/>
    <w:rsid w:val="00376C49"/>
    <w:rsid w:val="003801FF"/>
    <w:rsid w:val="003C0D5D"/>
    <w:rsid w:val="003E7CC9"/>
    <w:rsid w:val="004708CC"/>
    <w:rsid w:val="004925CD"/>
    <w:rsid w:val="004A743A"/>
    <w:rsid w:val="004B0886"/>
    <w:rsid w:val="004B156F"/>
    <w:rsid w:val="004E2B1E"/>
    <w:rsid w:val="005061D9"/>
    <w:rsid w:val="00543B18"/>
    <w:rsid w:val="00545E25"/>
    <w:rsid w:val="00546516"/>
    <w:rsid w:val="00596D5E"/>
    <w:rsid w:val="005C3835"/>
    <w:rsid w:val="005C5BF9"/>
    <w:rsid w:val="005E153D"/>
    <w:rsid w:val="006165C9"/>
    <w:rsid w:val="00634FAB"/>
    <w:rsid w:val="00644F6A"/>
    <w:rsid w:val="006555E5"/>
    <w:rsid w:val="006A6C33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C21CB"/>
    <w:rsid w:val="008D7E36"/>
    <w:rsid w:val="008E36B5"/>
    <w:rsid w:val="008E5A49"/>
    <w:rsid w:val="008F1186"/>
    <w:rsid w:val="009053F8"/>
    <w:rsid w:val="009522F3"/>
    <w:rsid w:val="0096067E"/>
    <w:rsid w:val="00962EE0"/>
    <w:rsid w:val="0096683B"/>
    <w:rsid w:val="00984B09"/>
    <w:rsid w:val="009A12D1"/>
    <w:rsid w:val="009A1410"/>
    <w:rsid w:val="009B42F1"/>
    <w:rsid w:val="009C7543"/>
    <w:rsid w:val="009D3706"/>
    <w:rsid w:val="009E53D1"/>
    <w:rsid w:val="00A111AE"/>
    <w:rsid w:val="00A12C04"/>
    <w:rsid w:val="00A24324"/>
    <w:rsid w:val="00A24F6A"/>
    <w:rsid w:val="00A443E1"/>
    <w:rsid w:val="00A64AC5"/>
    <w:rsid w:val="00AA71F4"/>
    <w:rsid w:val="00AB3AB1"/>
    <w:rsid w:val="00AC6E57"/>
    <w:rsid w:val="00AD0781"/>
    <w:rsid w:val="00AF70B8"/>
    <w:rsid w:val="00B06BE4"/>
    <w:rsid w:val="00B13CAF"/>
    <w:rsid w:val="00B360EA"/>
    <w:rsid w:val="00B8113F"/>
    <w:rsid w:val="00B841CC"/>
    <w:rsid w:val="00B84719"/>
    <w:rsid w:val="00BD03AC"/>
    <w:rsid w:val="00BE68E7"/>
    <w:rsid w:val="00BF1987"/>
    <w:rsid w:val="00BF1D33"/>
    <w:rsid w:val="00C13131"/>
    <w:rsid w:val="00C14ED6"/>
    <w:rsid w:val="00C21DD4"/>
    <w:rsid w:val="00C318AF"/>
    <w:rsid w:val="00C43451"/>
    <w:rsid w:val="00C66B9B"/>
    <w:rsid w:val="00C866CA"/>
    <w:rsid w:val="00C95B95"/>
    <w:rsid w:val="00CB1AC8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725E0"/>
    <w:rsid w:val="00D810C6"/>
    <w:rsid w:val="00DA1202"/>
    <w:rsid w:val="00DD368A"/>
    <w:rsid w:val="00DF402A"/>
    <w:rsid w:val="00E15859"/>
    <w:rsid w:val="00E53F79"/>
    <w:rsid w:val="00E574B5"/>
    <w:rsid w:val="00E81AFD"/>
    <w:rsid w:val="00EA680C"/>
    <w:rsid w:val="00EF3895"/>
    <w:rsid w:val="00F0721E"/>
    <w:rsid w:val="00F23A0E"/>
    <w:rsid w:val="00F34415"/>
    <w:rsid w:val="00F464F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link w:val="Char"/>
    <w:qFormat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A1410"/>
    <w:rPr>
      <w:kern w:val="2"/>
      <w:sz w:val="18"/>
      <w:szCs w:val="18"/>
    </w:rPr>
  </w:style>
  <w:style w:type="paragraph" w:styleId="a9">
    <w:name w:val="footer"/>
    <w:basedOn w:val="a"/>
    <w:link w:val="Char1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semiHidden/>
    <w:rsid w:val="009A1410"/>
    <w:rPr>
      <w:kern w:val="2"/>
      <w:sz w:val="18"/>
      <w:szCs w:val="18"/>
    </w:rPr>
  </w:style>
  <w:style w:type="character" w:customStyle="1" w:styleId="Char">
    <w:name w:val="正文文本 Char"/>
    <w:link w:val="a3"/>
    <w:qFormat/>
    <w:rsid w:val="001B7DFD"/>
    <w:rPr>
      <w:kern w:val="2"/>
      <w:sz w:val="21"/>
      <w:szCs w:val="24"/>
    </w:rPr>
  </w:style>
  <w:style w:type="paragraph" w:customStyle="1" w:styleId="1">
    <w:name w:val="无间隔1"/>
    <w:rsid w:val="001B7DFD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</Words>
  <Characters>646</Characters>
  <Application>Microsoft Office Word</Application>
  <DocSecurity>0</DocSecurity>
  <Lines>5</Lines>
  <Paragraphs>1</Paragraphs>
  <ScaleCrop>false</ScaleCrop>
  <Company>Microsoft 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Lenovo User</cp:lastModifiedBy>
  <cp:revision>30</cp:revision>
  <cp:lastPrinted>2015-10-13T02:26:00Z</cp:lastPrinted>
  <dcterms:created xsi:type="dcterms:W3CDTF">2017-03-01T04:30:00Z</dcterms:created>
  <dcterms:modified xsi:type="dcterms:W3CDTF">2017-11-24T01:47:00Z</dcterms:modified>
</cp:coreProperties>
</file>