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7"/>
        <w:tabs>
          <w:tab w:val="left" w:pos="7642"/>
        </w:tabs>
        <w:ind w:firstLine="0"/>
        <w:rPr>
          <w:rFonts w:ascii="宋体" w:hAnsi="宋体" w:eastAsia="宋体" w:cs="宋体"/>
          <w:b/>
          <w:color w:val="000000" w:themeColor="text1"/>
          <w:sz w:val="52"/>
          <w:szCs w:val="52"/>
          <w14:textFill>
            <w14:solidFill>
              <w14:schemeClr w14:val="tx1"/>
            </w14:solidFill>
          </w14:textFill>
        </w:rPr>
      </w:pPr>
      <w:r>
        <w:rPr>
          <w:rFonts w:hint="eastAsia" w:ascii="宋体" w:hAnsi="宋体" w:eastAsia="宋体" w:cs="宋体"/>
          <w:b/>
          <w:color w:val="000000" w:themeColor="text1"/>
          <w:sz w:val="52"/>
          <w:szCs w:val="52"/>
          <w14:textFill>
            <w14:solidFill>
              <w14:schemeClr w14:val="tx1"/>
            </w14:solidFill>
          </w14:textFill>
        </w:rPr>
        <w:tab/>
      </w:r>
    </w:p>
    <w:p>
      <w:pPr>
        <w:pStyle w:val="107"/>
        <w:ind w:firstLine="0"/>
        <w:jc w:val="center"/>
        <w:rPr>
          <w:rFonts w:ascii="宋体" w:hAnsi="宋体" w:eastAsia="宋体" w:cs="宋体"/>
          <w:b/>
          <w:color w:val="000000" w:themeColor="text1"/>
          <w:sz w:val="52"/>
          <w:szCs w:val="52"/>
          <w14:textFill>
            <w14:solidFill>
              <w14:schemeClr w14:val="tx1"/>
            </w14:solidFill>
          </w14:textFill>
        </w:rPr>
      </w:pPr>
    </w:p>
    <w:p>
      <w:pPr>
        <w:pStyle w:val="107"/>
        <w:ind w:firstLine="0"/>
        <w:jc w:val="center"/>
        <w:rPr>
          <w:rFonts w:ascii="宋体" w:hAnsi="宋体" w:eastAsia="宋体" w:cs="宋体"/>
          <w:b/>
          <w:color w:val="000000" w:themeColor="text1"/>
          <w:sz w:val="52"/>
          <w:szCs w:val="52"/>
          <w14:textFill>
            <w14:solidFill>
              <w14:schemeClr w14:val="tx1"/>
            </w14:solidFill>
          </w14:textFill>
        </w:rPr>
      </w:pPr>
    </w:p>
    <w:p>
      <w:pPr>
        <w:pStyle w:val="107"/>
        <w:ind w:firstLine="0"/>
        <w:jc w:val="center"/>
        <w:outlineLvl w:val="0"/>
        <w:rPr>
          <w:rFonts w:ascii="宋体" w:hAnsi="宋体" w:eastAsia="宋体" w:cs="宋体"/>
          <w:b/>
          <w:bCs/>
          <w:color w:val="000000" w:themeColor="text1"/>
          <w:sz w:val="84"/>
          <w14:textFill>
            <w14:solidFill>
              <w14:schemeClr w14:val="tx1"/>
            </w14:solidFill>
          </w14:textFill>
        </w:rPr>
      </w:pPr>
      <w:bookmarkStart w:id="0" w:name="_Toc6543"/>
      <w:r>
        <w:rPr>
          <w:rFonts w:hint="eastAsia" w:ascii="宋体" w:hAnsi="宋体" w:eastAsia="宋体" w:cs="宋体"/>
          <w:b/>
          <w:color w:val="000000" w:themeColor="text1"/>
          <w:sz w:val="84"/>
          <w:szCs w:val="21"/>
          <w14:textFill>
            <w14:solidFill>
              <w14:schemeClr w14:val="tx1"/>
            </w14:solidFill>
          </w14:textFill>
        </w:rPr>
        <w:t>竞争性磋商文件</w:t>
      </w:r>
      <w:bookmarkEnd w:id="0"/>
    </w:p>
    <w:p>
      <w:pPr>
        <w:pStyle w:val="107"/>
        <w:ind w:firstLine="0"/>
        <w:rPr>
          <w:rFonts w:ascii="宋体" w:hAnsi="宋体" w:eastAsia="宋体" w:cs="宋体"/>
          <w:b/>
          <w:bCs/>
          <w:color w:val="000000" w:themeColor="text1"/>
          <w:sz w:val="32"/>
          <w:szCs w:val="32"/>
          <w14:textFill>
            <w14:solidFill>
              <w14:schemeClr w14:val="tx1"/>
            </w14:solidFill>
          </w14:textFill>
        </w:rPr>
      </w:pPr>
    </w:p>
    <w:p>
      <w:pPr>
        <w:pStyle w:val="107"/>
        <w:ind w:firstLine="0"/>
        <w:rPr>
          <w:rFonts w:ascii="宋体" w:hAnsi="宋体" w:eastAsia="宋体" w:cs="宋体"/>
          <w:b/>
          <w:bCs/>
          <w:color w:val="000000" w:themeColor="text1"/>
          <w:sz w:val="32"/>
          <w:szCs w:val="32"/>
          <w14:textFill>
            <w14:solidFill>
              <w14:schemeClr w14:val="tx1"/>
            </w14:solidFill>
          </w14:textFill>
        </w:rPr>
      </w:pPr>
    </w:p>
    <w:p>
      <w:pPr>
        <w:pStyle w:val="107"/>
        <w:ind w:firstLine="0"/>
        <w:rPr>
          <w:rFonts w:ascii="宋体" w:hAnsi="宋体" w:eastAsia="宋体" w:cs="宋体"/>
          <w:b/>
          <w:bCs/>
          <w:color w:val="000000" w:themeColor="text1"/>
          <w:sz w:val="32"/>
          <w:szCs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outlineLvl w:val="0"/>
        <w:rPr>
          <w:rFonts w:ascii="宋体" w:hAnsi="宋体" w:cs="宋体"/>
          <w:b/>
          <w:color w:val="000000" w:themeColor="text1"/>
          <w:sz w:val="36"/>
          <w:szCs w:val="36"/>
          <w14:textFill>
            <w14:solidFill>
              <w14:schemeClr w14:val="tx1"/>
            </w14:solidFill>
          </w14:textFill>
        </w:rPr>
      </w:pPr>
      <w:bookmarkStart w:id="1" w:name="_Toc8712"/>
      <w:r>
        <w:rPr>
          <w:rFonts w:hint="eastAsia" w:ascii="宋体" w:hAnsi="宋体" w:cs="宋体"/>
          <w:b/>
          <w:color w:val="000000" w:themeColor="text1"/>
          <w:sz w:val="36"/>
          <w:szCs w:val="36"/>
          <w14:textFill>
            <w14:solidFill>
              <w14:schemeClr w14:val="tx1"/>
            </w14:solidFill>
          </w14:textFill>
        </w:rPr>
        <w:t>项目名称：</w:t>
      </w:r>
      <w:bookmarkEnd w:id="1"/>
      <w:r>
        <w:rPr>
          <w:rFonts w:hint="eastAsia" w:ascii="宋体" w:hAnsi="宋体" w:cs="宋体"/>
          <w:b/>
          <w:color w:val="000000" w:themeColor="text1"/>
          <w:sz w:val="36"/>
          <w:szCs w:val="36"/>
          <w14:textFill>
            <w14:solidFill>
              <w14:schemeClr w14:val="tx1"/>
            </w14:solidFill>
          </w14:textFill>
        </w:rPr>
        <w:t>盐城工业职业技术学院学生宿舍吹风机安装及运营项目</w:t>
      </w: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pStyle w:val="107"/>
        <w:ind w:firstLine="0"/>
        <w:jc w:val="center"/>
        <w:rPr>
          <w:rFonts w:eastAsia="宋体"/>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采购人：盐城工业职业技术学院</w:t>
      </w:r>
    </w:p>
    <w:p>
      <w:pPr>
        <w:pStyle w:val="107"/>
        <w:ind w:firstLine="0"/>
        <w:jc w:val="center"/>
        <w:rPr>
          <w:rFonts w:hint="eastAsia" w:ascii="Times New Roman" w:hAnsi="Times New Roman" w:eastAsiaTheme="minorEastAsia"/>
          <w:color w:val="000000" w:themeColor="text1"/>
          <w:sz w:val="32"/>
          <w:lang w:eastAsia="zh-CN"/>
          <w14:textFill>
            <w14:solidFill>
              <w14:schemeClr w14:val="tx1"/>
            </w14:solidFill>
          </w14:textFill>
        </w:rPr>
      </w:pPr>
      <w:r>
        <w:rPr>
          <w:rFonts w:hint="eastAsia" w:ascii="Times New Roman" w:hAnsi="Times New Roman"/>
          <w:color w:val="000000" w:themeColor="text1"/>
          <w:sz w:val="32"/>
          <w14:textFill>
            <w14:solidFill>
              <w14:schemeClr w14:val="tx1"/>
            </w14:solidFill>
          </w14:textFill>
        </w:rPr>
        <w:t>采购代理：</w:t>
      </w:r>
      <w:r>
        <w:rPr>
          <w:rFonts w:hint="eastAsia" w:ascii="Times New Roman" w:hAnsi="Times New Roman"/>
          <w:color w:val="000000" w:themeColor="text1"/>
          <w:sz w:val="32"/>
          <w:lang w:eastAsia="zh-CN"/>
          <w14:textFill>
            <w14:solidFill>
              <w14:schemeClr w14:val="tx1"/>
            </w14:solidFill>
          </w14:textFill>
        </w:rPr>
        <w:t>南京建淳造价师事务所有限公司</w:t>
      </w:r>
    </w:p>
    <w:p>
      <w:pPr>
        <w:jc w:val="center"/>
        <w:rPr>
          <w:rFonts w:ascii="宋体" w:hAnsi="宋体" w:cs="宋体"/>
          <w:bCs/>
          <w:color w:val="000000" w:themeColor="text1"/>
          <w:spacing w:val="15"/>
          <w:sz w:val="36"/>
          <w:szCs w:val="36"/>
          <w14:textFill>
            <w14:solidFill>
              <w14:schemeClr w14:val="tx1"/>
            </w14:solidFill>
          </w14:textFill>
        </w:rPr>
      </w:pPr>
    </w:p>
    <w:p>
      <w:pPr>
        <w:jc w:val="center"/>
        <w:rPr>
          <w:rFonts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2023年</w:t>
      </w:r>
      <w:r>
        <w:rPr>
          <w:rFonts w:hint="eastAsia" w:ascii="宋体" w:hAnsi="宋体" w:cs="宋体"/>
          <w:color w:val="000000" w:themeColor="text1"/>
          <w:sz w:val="36"/>
          <w:szCs w:val="36"/>
          <w:lang w:val="en-US" w:eastAsia="zh-CN"/>
          <w14:textFill>
            <w14:solidFill>
              <w14:schemeClr w14:val="tx1"/>
            </w14:solidFill>
          </w14:textFill>
        </w:rPr>
        <w:t>12</w:t>
      </w:r>
      <w:r>
        <w:rPr>
          <w:rFonts w:hint="eastAsia" w:ascii="宋体" w:hAnsi="宋体" w:cs="宋体"/>
          <w:color w:val="000000" w:themeColor="text1"/>
          <w:sz w:val="36"/>
          <w:szCs w:val="36"/>
          <w14:textFill>
            <w14:solidFill>
              <w14:schemeClr w14:val="tx1"/>
            </w14:solidFill>
          </w14:textFill>
        </w:rPr>
        <w:t>月</w:t>
      </w:r>
      <w:r>
        <w:rPr>
          <w:rFonts w:hint="eastAsia" w:ascii="宋体" w:hAnsi="宋体" w:cs="宋体"/>
          <w:color w:val="000000" w:themeColor="text1"/>
          <w:sz w:val="36"/>
          <w:szCs w:val="36"/>
          <w:lang w:val="en-US" w:eastAsia="zh-CN"/>
          <w14:textFill>
            <w14:solidFill>
              <w14:schemeClr w14:val="tx1"/>
            </w14:solidFill>
          </w14:textFill>
        </w:rPr>
        <w:t>4</w:t>
      </w:r>
      <w:r>
        <w:rPr>
          <w:rFonts w:hint="eastAsia" w:ascii="宋体" w:hAnsi="宋体" w:cs="宋体"/>
          <w:color w:val="000000" w:themeColor="text1"/>
          <w:sz w:val="36"/>
          <w:szCs w:val="36"/>
          <w14:textFill>
            <w14:solidFill>
              <w14:schemeClr w14:val="tx1"/>
            </w14:solidFill>
          </w14:textFill>
        </w:rPr>
        <w:t>日</w:t>
      </w:r>
    </w:p>
    <w:p>
      <w:pPr>
        <w:ind w:firstLine="3313" w:firstLineChars="750"/>
        <w:rPr>
          <w:rFonts w:ascii="宋体" w:hAnsi="宋体" w:cs="宋体"/>
          <w:b/>
          <w:color w:val="000000" w:themeColor="text1"/>
          <w:sz w:val="44"/>
          <w:szCs w:val="21"/>
          <w14:textFill>
            <w14:solidFill>
              <w14:schemeClr w14:val="tx1"/>
            </w14:solidFill>
          </w14:textFill>
        </w:rPr>
      </w:pPr>
    </w:p>
    <w:p>
      <w:pPr>
        <w:ind w:firstLine="3313" w:firstLineChars="750"/>
        <w:rPr>
          <w:rFonts w:ascii="宋体" w:hAnsi="宋体" w:cs="宋体"/>
          <w:b/>
          <w:color w:val="000000" w:themeColor="text1"/>
          <w:sz w:val="44"/>
          <w:szCs w:val="21"/>
          <w14:textFill>
            <w14:solidFill>
              <w14:schemeClr w14:val="tx1"/>
            </w14:solidFill>
          </w14:textFill>
        </w:rPr>
      </w:pPr>
    </w:p>
    <w:sdt>
      <w:sdtPr>
        <w:rPr>
          <w:rFonts w:ascii="宋体" w:hAnsi="宋体"/>
          <w:color w:val="000000" w:themeColor="text1"/>
          <w14:textFill>
            <w14:solidFill>
              <w14:schemeClr w14:val="tx1"/>
            </w14:solidFill>
          </w14:textFill>
        </w:rPr>
        <w:id w:val="147462589"/>
        <w15:color w:val="DBDBDB"/>
      </w:sdtPr>
      <w:sdtEndPr>
        <w:rPr>
          <w:rFonts w:ascii="宋体" w:hAnsi="宋体" w:cs="宋体"/>
          <w:color w:val="000000" w:themeColor="text1"/>
          <w14:textFill>
            <w14:solidFill>
              <w14:schemeClr w14:val="tx1"/>
            </w14:solidFill>
          </w14:textFill>
        </w:rPr>
      </w:sdtEndPr>
      <w:sdtContent>
        <w:p>
          <w:pPr>
            <w:jc w:val="center"/>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目录</w:t>
          </w:r>
        </w:p>
        <w:p>
          <w:pPr>
            <w:pStyle w:val="115"/>
            <w:tabs>
              <w:tab w:val="right" w:leader="dot" w:pos="9072"/>
            </w:tabs>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TOC \o "1-1" \h \u </w:instrText>
          </w:r>
          <w:r>
            <w:rPr>
              <w:rFonts w:hint="eastAsia" w:ascii="黑体" w:hAnsi="黑体" w:eastAsia="黑体" w:cs="黑体"/>
              <w:color w:val="000000" w:themeColor="text1"/>
              <w:sz w:val="36"/>
              <w:szCs w:val="36"/>
              <w14:textFill>
                <w14:solidFill>
                  <w14:schemeClr w14:val="tx1"/>
                </w14:solidFill>
              </w14:textFill>
            </w:rPr>
            <w:fldChar w:fldCharType="separate"/>
          </w:r>
        </w:p>
        <w:p>
          <w:pPr>
            <w:pStyle w:val="115"/>
            <w:tabs>
              <w:tab w:val="right" w:leader="dot" w:pos="9072"/>
            </w:tabs>
            <w:rPr>
              <w:rFonts w:ascii="黑体" w:hAnsi="黑体" w:eastAsia="黑体" w:cs="黑体"/>
              <w:color w:val="000000" w:themeColor="text1"/>
              <w:sz w:val="36"/>
              <w:szCs w:val="36"/>
              <w14:textFill>
                <w14:solidFill>
                  <w14:schemeClr w14:val="tx1"/>
                </w14:solidFill>
              </w14:textFill>
            </w:rPr>
          </w:pPr>
          <w:r>
            <w:fldChar w:fldCharType="begin"/>
          </w:r>
          <w:r>
            <w:instrText xml:space="preserve"> HYPERLINK \l "_Toc22191" </w:instrText>
          </w:r>
          <w:r>
            <w:fldChar w:fldCharType="separate"/>
          </w:r>
          <w:r>
            <w:rPr>
              <w:rFonts w:hint="eastAsia" w:ascii="黑体" w:hAnsi="黑体" w:eastAsia="黑体" w:cs="黑体"/>
              <w:color w:val="000000" w:themeColor="text1"/>
              <w:sz w:val="36"/>
              <w:szCs w:val="36"/>
              <w14:textFill>
                <w14:solidFill>
                  <w14:schemeClr w14:val="tx1"/>
                </w14:solidFill>
              </w14:textFill>
            </w:rPr>
            <w:t>第一章 竞争性磋商采购公告</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_Toc22191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3</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pStyle w:val="115"/>
            <w:tabs>
              <w:tab w:val="right" w:leader="dot" w:pos="9072"/>
            </w:tabs>
            <w:rPr>
              <w:rFonts w:ascii="黑体" w:hAnsi="黑体" w:eastAsia="黑体" w:cs="黑体"/>
              <w:color w:val="000000" w:themeColor="text1"/>
              <w:sz w:val="36"/>
              <w:szCs w:val="36"/>
              <w14:textFill>
                <w14:solidFill>
                  <w14:schemeClr w14:val="tx1"/>
                </w14:solidFill>
              </w14:textFill>
            </w:rPr>
          </w:pPr>
          <w:r>
            <w:fldChar w:fldCharType="begin"/>
          </w:r>
          <w:r>
            <w:instrText xml:space="preserve"> HYPERLINK \l "_Toc4407" </w:instrText>
          </w:r>
          <w:r>
            <w:fldChar w:fldCharType="separate"/>
          </w:r>
          <w:r>
            <w:rPr>
              <w:rFonts w:hint="eastAsia" w:ascii="黑体" w:hAnsi="黑体" w:eastAsia="黑体" w:cs="黑体"/>
              <w:color w:val="000000" w:themeColor="text1"/>
              <w:sz w:val="36"/>
              <w:szCs w:val="36"/>
              <w14:textFill>
                <w14:solidFill>
                  <w14:schemeClr w14:val="tx1"/>
                </w14:solidFill>
              </w14:textFill>
            </w:rPr>
            <w:t>第二章 磋商须知</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_Toc4407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6</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pStyle w:val="115"/>
            <w:tabs>
              <w:tab w:val="right" w:leader="dot" w:pos="9072"/>
            </w:tabs>
            <w:rPr>
              <w:rFonts w:ascii="黑体" w:hAnsi="黑体" w:eastAsia="黑体" w:cs="黑体"/>
              <w:color w:val="000000" w:themeColor="text1"/>
              <w:sz w:val="36"/>
              <w:szCs w:val="36"/>
              <w14:textFill>
                <w14:solidFill>
                  <w14:schemeClr w14:val="tx1"/>
                </w14:solidFill>
              </w14:textFill>
            </w:rPr>
          </w:pPr>
          <w:r>
            <w:fldChar w:fldCharType="begin"/>
          </w:r>
          <w:r>
            <w:instrText xml:space="preserve"> HYPERLINK \l "_Toc20504" </w:instrText>
          </w:r>
          <w:r>
            <w:fldChar w:fldCharType="separate"/>
          </w:r>
          <w:r>
            <w:rPr>
              <w:rFonts w:hint="eastAsia" w:ascii="黑体" w:hAnsi="黑体" w:eastAsia="黑体" w:cs="黑体"/>
              <w:color w:val="000000" w:themeColor="text1"/>
              <w:sz w:val="36"/>
              <w:szCs w:val="36"/>
              <w14:textFill>
                <w14:solidFill>
                  <w14:schemeClr w14:val="tx1"/>
                </w14:solidFill>
              </w14:textFill>
            </w:rPr>
            <w:t>第三章 合同条款及格式</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_Toc20504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16</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pStyle w:val="115"/>
            <w:tabs>
              <w:tab w:val="right" w:leader="dot" w:pos="9072"/>
            </w:tabs>
            <w:rPr>
              <w:rFonts w:ascii="黑体" w:hAnsi="黑体" w:eastAsia="黑体" w:cs="黑体"/>
              <w:color w:val="000000" w:themeColor="text1"/>
              <w:sz w:val="36"/>
              <w:szCs w:val="36"/>
              <w14:textFill>
                <w14:solidFill>
                  <w14:schemeClr w14:val="tx1"/>
                </w14:solidFill>
              </w14:textFill>
            </w:rPr>
          </w:pPr>
          <w:r>
            <w:fldChar w:fldCharType="begin"/>
          </w:r>
          <w:r>
            <w:instrText xml:space="preserve"> HYPERLINK \l "_Toc8252" </w:instrText>
          </w:r>
          <w:r>
            <w:fldChar w:fldCharType="separate"/>
          </w:r>
          <w:r>
            <w:rPr>
              <w:rFonts w:hint="eastAsia" w:ascii="黑体" w:hAnsi="黑体" w:eastAsia="黑体" w:cs="黑体"/>
              <w:color w:val="000000" w:themeColor="text1"/>
              <w:sz w:val="36"/>
              <w:szCs w:val="36"/>
              <w14:textFill>
                <w14:solidFill>
                  <w14:schemeClr w14:val="tx1"/>
                </w14:solidFill>
              </w14:textFill>
            </w:rPr>
            <w:t>第四章 项目需求</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_Toc8252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21</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pStyle w:val="115"/>
            <w:tabs>
              <w:tab w:val="right" w:leader="dot" w:pos="9072"/>
            </w:tabs>
            <w:rPr>
              <w:rFonts w:ascii="黑体" w:hAnsi="黑体" w:eastAsia="黑体" w:cs="黑体"/>
              <w:color w:val="000000" w:themeColor="text1"/>
              <w:sz w:val="36"/>
              <w:szCs w:val="36"/>
              <w14:textFill>
                <w14:solidFill>
                  <w14:schemeClr w14:val="tx1"/>
                </w14:solidFill>
              </w14:textFill>
            </w:rPr>
          </w:pPr>
          <w:r>
            <w:fldChar w:fldCharType="begin"/>
          </w:r>
          <w:r>
            <w:instrText xml:space="preserve"> HYPERLINK \l "_Toc16618" </w:instrText>
          </w:r>
          <w:r>
            <w:fldChar w:fldCharType="separate"/>
          </w:r>
          <w:r>
            <w:rPr>
              <w:rFonts w:hint="eastAsia" w:ascii="黑体" w:hAnsi="黑体" w:eastAsia="黑体" w:cs="黑体"/>
              <w:color w:val="000000" w:themeColor="text1"/>
              <w:sz w:val="36"/>
              <w:szCs w:val="36"/>
              <w14:textFill>
                <w14:solidFill>
                  <w14:schemeClr w14:val="tx1"/>
                </w14:solidFill>
              </w14:textFill>
            </w:rPr>
            <w:t>第五章 定标原则和评审标准</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_Toc16618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2</w:t>
          </w:r>
          <w:r>
            <w:rPr>
              <w:rFonts w:hint="eastAsia" w:ascii="黑体" w:hAnsi="黑体" w:eastAsia="黑体" w:cs="黑体"/>
              <w:color w:val="000000" w:themeColor="text1"/>
              <w:sz w:val="36"/>
              <w:szCs w:val="36"/>
              <w:lang w:val="en-US" w:eastAsia="zh-CN"/>
              <w14:textFill>
                <w14:solidFill>
                  <w14:schemeClr w14:val="tx1"/>
                </w14:solidFill>
              </w14:textFill>
            </w:rPr>
            <w:t>4</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pStyle w:val="115"/>
            <w:tabs>
              <w:tab w:val="right" w:leader="dot" w:pos="9072"/>
            </w:tabs>
            <w:rPr>
              <w:rFonts w:ascii="黑体" w:hAnsi="黑体" w:eastAsia="黑体" w:cs="黑体"/>
              <w:color w:val="000000" w:themeColor="text1"/>
              <w:sz w:val="36"/>
              <w:szCs w:val="36"/>
              <w14:textFill>
                <w14:solidFill>
                  <w14:schemeClr w14:val="tx1"/>
                </w14:solidFill>
              </w14:textFill>
            </w:rPr>
          </w:pPr>
          <w:r>
            <w:fldChar w:fldCharType="begin"/>
          </w:r>
          <w:r>
            <w:instrText xml:space="preserve"> HYPERLINK \l "_Toc17729" </w:instrText>
          </w:r>
          <w:r>
            <w:fldChar w:fldCharType="separate"/>
          </w:r>
          <w:r>
            <w:rPr>
              <w:rFonts w:hint="eastAsia" w:ascii="黑体" w:hAnsi="黑体" w:eastAsia="黑体" w:cs="黑体"/>
              <w:color w:val="000000" w:themeColor="text1"/>
              <w:sz w:val="36"/>
              <w:szCs w:val="36"/>
              <w14:textFill>
                <w14:solidFill>
                  <w14:schemeClr w14:val="tx1"/>
                </w14:solidFill>
              </w14:textFill>
            </w:rPr>
            <w:t>第六章 竞争性磋商响应文件格式</w:t>
          </w:r>
          <w:r>
            <w:rPr>
              <w:rFonts w:hint="eastAsia" w:ascii="黑体" w:hAnsi="黑体" w:eastAsia="黑体" w:cs="黑体"/>
              <w:color w:val="000000" w:themeColor="text1"/>
              <w:sz w:val="36"/>
              <w:szCs w:val="36"/>
              <w14:textFill>
                <w14:solidFill>
                  <w14:schemeClr w14:val="tx1"/>
                </w14:solidFill>
              </w14:textFill>
            </w:rPr>
            <w:tab/>
          </w:r>
          <w:r>
            <w:rPr>
              <w:rFonts w:hint="eastAsia" w:ascii="黑体" w:hAnsi="黑体" w:eastAsia="黑体" w:cs="黑体"/>
              <w:color w:val="000000" w:themeColor="text1"/>
              <w:sz w:val="36"/>
              <w:szCs w:val="36"/>
              <w14:textFill>
                <w14:solidFill>
                  <w14:schemeClr w14:val="tx1"/>
                </w14:solidFill>
              </w14:textFill>
            </w:rPr>
            <w:fldChar w:fldCharType="begin"/>
          </w:r>
          <w:r>
            <w:rPr>
              <w:rFonts w:hint="eastAsia" w:ascii="黑体" w:hAnsi="黑体" w:eastAsia="黑体" w:cs="黑体"/>
              <w:color w:val="000000" w:themeColor="text1"/>
              <w:sz w:val="36"/>
              <w:szCs w:val="36"/>
              <w14:textFill>
                <w14:solidFill>
                  <w14:schemeClr w14:val="tx1"/>
                </w14:solidFill>
              </w14:textFill>
            </w:rPr>
            <w:instrText xml:space="preserve"> PAGEREF _Toc17729 \h </w:instrText>
          </w:r>
          <w:r>
            <w:rPr>
              <w:rFonts w:hint="eastAsia" w:ascii="黑体" w:hAnsi="黑体" w:eastAsia="黑体" w:cs="黑体"/>
              <w:color w:val="000000" w:themeColor="text1"/>
              <w:sz w:val="36"/>
              <w:szCs w:val="36"/>
              <w14:textFill>
                <w14:solidFill>
                  <w14:schemeClr w14:val="tx1"/>
                </w14:solidFill>
              </w14:textFill>
            </w:rPr>
            <w:fldChar w:fldCharType="separate"/>
          </w:r>
          <w:r>
            <w:rPr>
              <w:rFonts w:hint="eastAsia" w:ascii="黑体" w:hAnsi="黑体" w:eastAsia="黑体" w:cs="黑体"/>
              <w:color w:val="000000" w:themeColor="text1"/>
              <w:sz w:val="36"/>
              <w:szCs w:val="36"/>
              <w14:textFill>
                <w14:solidFill>
                  <w14:schemeClr w14:val="tx1"/>
                </w14:solidFill>
              </w14:textFill>
            </w:rPr>
            <w:t>27</w:t>
          </w:r>
          <w:r>
            <w:rPr>
              <w:rFonts w:hint="eastAsia" w:ascii="黑体" w:hAnsi="黑体" w:eastAsia="黑体" w:cs="黑体"/>
              <w:color w:val="000000" w:themeColor="text1"/>
              <w:sz w:val="36"/>
              <w:szCs w:val="36"/>
              <w14:textFill>
                <w14:solidFill>
                  <w14:schemeClr w14:val="tx1"/>
                </w14:solidFill>
              </w14:textFill>
            </w:rPr>
            <w:fldChar w:fldCharType="end"/>
          </w:r>
          <w:r>
            <w:rPr>
              <w:rFonts w:hint="eastAsia" w:ascii="黑体" w:hAnsi="黑体" w:eastAsia="黑体" w:cs="黑体"/>
              <w:color w:val="000000" w:themeColor="text1"/>
              <w:sz w:val="36"/>
              <w:szCs w:val="36"/>
              <w14:textFill>
                <w14:solidFill>
                  <w14:schemeClr w14:val="tx1"/>
                </w14:solidFill>
              </w14:textFill>
            </w:rPr>
            <w:fldChar w:fldCharType="end"/>
          </w:r>
        </w:p>
        <w:p>
          <w:pPr>
            <w:rPr>
              <w:rFonts w:ascii="宋体" w:hAnsi="宋体" w:cs="宋体"/>
              <w:color w:val="000000" w:themeColor="text1"/>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fldChar w:fldCharType="end"/>
          </w:r>
        </w:p>
      </w:sdtContent>
    </w:sdt>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7"/>
        <w:jc w:val="center"/>
        <w:rPr>
          <w:rFonts w:ascii="宋体" w:hAnsi="宋体" w:eastAsia="宋体" w:cs="宋体"/>
          <w:color w:val="000000" w:themeColor="text1"/>
          <w:sz w:val="44"/>
          <w:szCs w:val="44"/>
          <w14:textFill>
            <w14:solidFill>
              <w14:schemeClr w14:val="tx1"/>
            </w14:solidFill>
          </w14:textFill>
        </w:rPr>
      </w:pPr>
      <w:bookmarkStart w:id="2" w:name="_Toc22191"/>
      <w:r>
        <w:rPr>
          <w:rFonts w:hint="eastAsia" w:ascii="宋体" w:hAnsi="宋体" w:eastAsia="宋体" w:cs="宋体"/>
          <w:color w:val="000000" w:themeColor="text1"/>
          <w:sz w:val="44"/>
          <w:szCs w:val="44"/>
          <w14:textFill>
            <w14:solidFill>
              <w14:schemeClr w14:val="tx1"/>
            </w14:solidFill>
          </w14:textFill>
        </w:rPr>
        <w:t>第一章 竞争性磋商采购公告</w:t>
      </w:r>
      <w:bookmarkEnd w:id="2"/>
    </w:p>
    <w:p>
      <w:pPr>
        <w:rPr>
          <w:rFonts w:ascii="宋体" w:hAnsi="宋体" w:cs="宋体"/>
          <w:color w:val="000000" w:themeColor="text1"/>
          <w14:textFill>
            <w14:solidFill>
              <w14:schemeClr w14:val="tx1"/>
            </w14:solidFill>
          </w14:textFill>
        </w:rPr>
      </w:pPr>
      <w:bookmarkStart w:id="3" w:name="_Toc61149549"/>
      <w:bookmarkStart w:id="4" w:name="_Toc14577347"/>
      <w:bookmarkStart w:id="5" w:name="_Toc513029209"/>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Style w:val="163"/>
          <w:rFonts w:hint="eastAsia" w:ascii="宋体" w:hAnsi="宋体" w:cs="宋体"/>
          <w:bCs/>
          <w:color w:val="000000" w:themeColor="text1"/>
          <w:sz w:val="24"/>
          <w:u w:val="single" w:color="000000"/>
          <w14:textFill>
            <w14:solidFill>
              <w14:schemeClr w14:val="tx1"/>
            </w14:solidFill>
          </w14:textFill>
        </w:rPr>
        <w:t>盐城工业职业技术学院学生宿舍吹风机安装及运营项目</w:t>
      </w:r>
      <w:r>
        <w:rPr>
          <w:rStyle w:val="163"/>
          <w:rFonts w:hint="eastAsia" w:ascii="宋体" w:hAnsi="宋体" w:cs="宋体"/>
          <w:bCs/>
          <w:color w:val="000000" w:themeColor="text1"/>
          <w:sz w:val="24"/>
          <w14:textFill>
            <w14:solidFill>
              <w14:schemeClr w14:val="tx1"/>
            </w14:solidFill>
          </w14:textFill>
        </w:rPr>
        <w:t>招标项目的潜在投标人应在“</w:t>
      </w:r>
      <w:r>
        <w:rPr>
          <w:rStyle w:val="163"/>
          <w:rFonts w:hint="eastAsia" w:ascii="宋体" w:hAnsi="宋体" w:cs="宋体"/>
          <w:bCs/>
          <w:color w:val="000000" w:themeColor="text1"/>
          <w:sz w:val="24"/>
          <w:u w:val="single"/>
          <w14:textFill>
            <w14:solidFill>
              <w14:schemeClr w14:val="tx1"/>
            </w14:solidFill>
          </w14:textFill>
        </w:rPr>
        <w:t>盐城工业职业技术学院招标采购网”</w:t>
      </w:r>
      <w:r>
        <w:rPr>
          <w:rStyle w:val="163"/>
          <w:rFonts w:hint="eastAsia" w:ascii="宋体" w:hAnsi="宋体" w:cs="宋体"/>
          <w:bCs/>
          <w:color w:val="000000" w:themeColor="text1"/>
          <w:sz w:val="24"/>
          <w14:textFill>
            <w14:solidFill>
              <w14:schemeClr w14:val="tx1"/>
            </w14:solidFill>
          </w14:textFill>
        </w:rPr>
        <w:t>获</w:t>
      </w:r>
      <w:r>
        <w:rPr>
          <w:rStyle w:val="163"/>
          <w:rFonts w:hint="eastAsia" w:ascii="宋体" w:hAnsi="宋体" w:cs="宋体"/>
          <w:color w:val="000000" w:themeColor="text1"/>
          <w:sz w:val="24"/>
          <w14:textFill>
            <w14:solidFill>
              <w14:schemeClr w14:val="tx1"/>
            </w14:solidFill>
          </w14:textFill>
        </w:rPr>
        <w:t>取招标文件，并于</w:t>
      </w:r>
      <w:r>
        <w:rPr>
          <w:rStyle w:val="163"/>
          <w:rFonts w:hint="eastAsia" w:ascii="宋体" w:hAnsi="宋体" w:cs="宋体"/>
          <w:color w:val="000000" w:themeColor="text1"/>
          <w:sz w:val="24"/>
          <w:u w:val="single" w:color="000000"/>
          <w14:textFill>
            <w14:solidFill>
              <w14:schemeClr w14:val="tx1"/>
            </w14:solidFill>
          </w14:textFill>
        </w:rPr>
        <w:t>2023</w:t>
      </w:r>
      <w:r>
        <w:rPr>
          <w:rStyle w:val="163"/>
          <w:rFonts w:hint="eastAsia" w:ascii="宋体" w:hAnsi="宋体" w:cs="宋体"/>
          <w:bCs/>
          <w:color w:val="000000" w:themeColor="text1"/>
          <w:sz w:val="24"/>
          <w:u w:val="single" w:color="000000"/>
          <w14:textFill>
            <w14:solidFill>
              <w14:schemeClr w14:val="tx1"/>
            </w14:solidFill>
          </w14:textFill>
        </w:rPr>
        <w:t>年</w:t>
      </w:r>
      <w:r>
        <w:rPr>
          <w:rStyle w:val="163"/>
          <w:rFonts w:hint="eastAsia" w:ascii="宋体" w:hAnsi="宋体" w:cs="宋体"/>
          <w:bCs/>
          <w:color w:val="000000" w:themeColor="text1"/>
          <w:sz w:val="24"/>
          <w:u w:val="single" w:color="000000"/>
          <w:lang w:val="en-US" w:eastAsia="zh-CN"/>
          <w14:textFill>
            <w14:solidFill>
              <w14:schemeClr w14:val="tx1"/>
            </w14:solidFill>
          </w14:textFill>
        </w:rPr>
        <w:t>12</w:t>
      </w:r>
      <w:r>
        <w:rPr>
          <w:rStyle w:val="163"/>
          <w:rFonts w:hint="eastAsia" w:ascii="宋体" w:hAnsi="宋体" w:cs="宋体"/>
          <w:bCs/>
          <w:color w:val="000000" w:themeColor="text1"/>
          <w:sz w:val="24"/>
          <w:u w:val="single" w:color="000000"/>
          <w14:textFill>
            <w14:solidFill>
              <w14:schemeClr w14:val="tx1"/>
            </w14:solidFill>
          </w14:textFill>
        </w:rPr>
        <w:t>月</w:t>
      </w:r>
      <w:r>
        <w:rPr>
          <w:rStyle w:val="163"/>
          <w:rFonts w:hint="eastAsia" w:ascii="宋体" w:hAnsi="宋体" w:cs="宋体"/>
          <w:bCs/>
          <w:color w:val="000000" w:themeColor="text1"/>
          <w:sz w:val="24"/>
          <w:u w:val="single" w:color="000000"/>
          <w:lang w:val="en-US" w:eastAsia="zh-CN"/>
          <w14:textFill>
            <w14:solidFill>
              <w14:schemeClr w14:val="tx1"/>
            </w14:solidFill>
          </w14:textFill>
        </w:rPr>
        <w:t>15</w:t>
      </w:r>
      <w:r>
        <w:rPr>
          <w:rStyle w:val="163"/>
          <w:rFonts w:hint="eastAsia" w:ascii="宋体" w:hAnsi="宋体" w:cs="宋体"/>
          <w:bCs/>
          <w:color w:val="000000" w:themeColor="text1"/>
          <w:sz w:val="24"/>
          <w:u w:val="single" w:color="000000"/>
          <w14:textFill>
            <w14:solidFill>
              <w14:schemeClr w14:val="tx1"/>
            </w14:solidFill>
          </w14:textFill>
        </w:rPr>
        <w:t>日9点00分（</w:t>
      </w:r>
      <w:r>
        <w:rPr>
          <w:rStyle w:val="163"/>
          <w:rFonts w:hint="eastAsia" w:ascii="宋体" w:hAnsi="宋体" w:cs="宋体"/>
          <w:bCs/>
          <w:color w:val="000000" w:themeColor="text1"/>
          <w:sz w:val="24"/>
          <w14:textFill>
            <w14:solidFill>
              <w14:schemeClr w14:val="tx1"/>
            </w14:solidFill>
          </w14:textFill>
        </w:rPr>
        <w:t>北京时间）前递交投标文件</w:t>
      </w:r>
      <w:r>
        <w:rPr>
          <w:rStyle w:val="163"/>
          <w:rFonts w:hint="eastAsia" w:ascii="宋体" w:hAnsi="宋体" w:cs="宋体"/>
          <w:color w:val="000000" w:themeColor="text1"/>
          <w:sz w:val="24"/>
          <w14:textFill>
            <w14:solidFill>
              <w14:schemeClr w14:val="tx1"/>
            </w14:solidFill>
          </w14:textFill>
        </w:rPr>
        <w:t>。</w:t>
      </w:r>
    </w:p>
    <w:p>
      <w:pPr>
        <w:adjustRightInd w:val="0"/>
        <w:snapToGrid w:val="0"/>
        <w:spacing w:line="360" w:lineRule="auto"/>
        <w:rPr>
          <w:rFonts w:ascii="宋体" w:hAnsi="宋体" w:cs="宋体"/>
          <w:color w:val="000000" w:themeColor="text1"/>
          <w:sz w:val="24"/>
          <w14:textFill>
            <w14:solidFill>
              <w14:schemeClr w14:val="tx1"/>
            </w14:solidFill>
          </w14:textFill>
        </w:rPr>
      </w:pP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bookmarkStart w:id="6" w:name="_Toc35393629"/>
      <w:bookmarkStart w:id="7" w:name="_Toc28359089"/>
      <w:bookmarkStart w:id="8" w:name="_Toc35393798"/>
      <w:bookmarkStart w:id="9" w:name="_Toc28359012"/>
      <w:r>
        <w:rPr>
          <w:rFonts w:hint="eastAsia" w:ascii="宋体" w:hAnsi="宋体" w:eastAsia="宋体" w:cs="宋体"/>
          <w:b w:val="0"/>
          <w:color w:val="000000" w:themeColor="text1"/>
          <w:sz w:val="24"/>
          <w:szCs w:val="24"/>
          <w14:textFill>
            <w14:solidFill>
              <w14:schemeClr w14:val="tx1"/>
            </w14:solidFill>
          </w14:textFill>
        </w:rPr>
        <w:t>一、项目基本情况</w:t>
      </w:r>
      <w:bookmarkEnd w:id="6"/>
      <w:bookmarkEnd w:id="7"/>
      <w:bookmarkEnd w:id="8"/>
      <w:bookmarkEnd w:id="9"/>
    </w:p>
    <w:p>
      <w:pPr>
        <w:adjustRightInd w:val="0"/>
        <w:snapToGrid w:val="0"/>
        <w:spacing w:line="360" w:lineRule="auto"/>
        <w:ind w:firstLine="480" w:firstLineChars="200"/>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项目编号：2023-0</w:t>
      </w:r>
      <w:r>
        <w:rPr>
          <w:rFonts w:hint="eastAsia" w:ascii="宋体" w:hAnsi="宋体" w:cs="宋体"/>
          <w:color w:val="000000" w:themeColor="text1"/>
          <w:sz w:val="24"/>
          <w:lang w:val="en-US" w:eastAsia="zh-CN"/>
          <w14:textFill>
            <w14:solidFill>
              <w14:schemeClr w14:val="tx1"/>
            </w14:solidFill>
          </w14:textFill>
        </w:rPr>
        <w:t>36N</w:t>
      </w:r>
    </w:p>
    <w:p>
      <w:pPr>
        <w:adjustRightInd w:val="0"/>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项目名称：盐城工业职业技术学院学生宿舍吹风机安装及运营项目</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采购方式：竞争性磋商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最高限价：本项目的磋商报价应在采购人设置的最高限价以下报价，高于最高限价的供应商将作为废标处理。</w:t>
      </w:r>
    </w:p>
    <w:p>
      <w:pPr>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zh-TW"/>
          <w14:textFill>
            <w14:solidFill>
              <w14:schemeClr w14:val="tx1"/>
            </w14:solidFill>
          </w14:textFill>
        </w:rPr>
        <w:t>1、使用</w:t>
      </w:r>
      <w:r>
        <w:rPr>
          <w:rFonts w:hint="eastAsia" w:ascii="宋体" w:hAnsi="宋体" w:cs="宋体"/>
          <w:b/>
          <w:bCs/>
          <w:color w:val="000000" w:themeColor="text1"/>
          <w:sz w:val="24"/>
          <w14:textFill>
            <w14:solidFill>
              <w14:schemeClr w14:val="tx1"/>
            </w14:solidFill>
          </w14:textFill>
        </w:rPr>
        <w:t>每</w:t>
      </w:r>
      <w:r>
        <w:rPr>
          <w:rFonts w:hint="eastAsia" w:ascii="宋体" w:hAnsi="宋体" w:cs="宋体"/>
          <w:b/>
          <w:bCs/>
          <w:color w:val="000000" w:themeColor="text1"/>
          <w:sz w:val="24"/>
          <w:lang w:val="zh-TW"/>
          <w14:textFill>
            <w14:solidFill>
              <w14:schemeClr w14:val="tx1"/>
            </w14:solidFill>
          </w14:textFill>
        </w:rPr>
        <w:t>分钟最高限价：0.25元</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采购需求：学校拟对9栋宿舍</w:t>
      </w:r>
      <w:r>
        <w:rPr>
          <w:rFonts w:hint="eastAsia" w:ascii="宋体" w:hAnsi="宋体" w:cs="宋体"/>
          <w:color w:val="000000" w:themeColor="text1"/>
          <w:sz w:val="24"/>
          <w:lang w:val="zh-TW" w:eastAsia="zh-TW"/>
          <w14:textFill>
            <w14:solidFill>
              <w14:schemeClr w14:val="tx1"/>
            </w14:solidFill>
          </w14:textFill>
        </w:rPr>
        <w:t>楼规划投放约一批自助电吹风，设备及配件必须为全新，在学生宿舍楼走道长廊等公共区域安装吹风机，男生宿舍每栋</w:t>
      </w:r>
      <w:r>
        <w:rPr>
          <w:rFonts w:hint="eastAsia" w:ascii="宋体" w:hAnsi="宋体" w:cs="宋体"/>
          <w:color w:val="000000" w:themeColor="text1"/>
          <w:sz w:val="24"/>
          <w14:textFill>
            <w14:solidFill>
              <w14:schemeClr w14:val="tx1"/>
            </w14:solidFill>
          </w14:textFill>
        </w:rPr>
        <w:t>每层</w:t>
      </w:r>
      <w:r>
        <w:rPr>
          <w:rFonts w:hint="eastAsia" w:ascii="宋体" w:hAnsi="宋体" w:cs="宋体"/>
          <w:color w:val="000000" w:themeColor="text1"/>
          <w:sz w:val="24"/>
          <w:lang w:val="zh-TW" w:eastAsia="zh-TW"/>
          <w14:textFill>
            <w14:solidFill>
              <w14:schemeClr w14:val="tx1"/>
            </w14:solidFill>
          </w14:textFill>
        </w:rPr>
        <w:t>安装</w:t>
      </w:r>
      <w:r>
        <w:rPr>
          <w:rFonts w:hint="eastAsia" w:ascii="宋体" w:hAnsi="宋体" w:cs="宋体"/>
          <w:color w:val="000000" w:themeColor="text1"/>
          <w:sz w:val="24"/>
          <w14:textFill>
            <w14:solidFill>
              <w14:schemeClr w14:val="tx1"/>
            </w14:solidFill>
          </w14:textFill>
        </w:rPr>
        <w:t>不少于2台</w:t>
      </w:r>
      <w:r>
        <w:rPr>
          <w:rFonts w:hint="eastAsia" w:ascii="宋体" w:hAnsi="宋体" w:cs="宋体"/>
          <w:color w:val="000000" w:themeColor="text1"/>
          <w:sz w:val="24"/>
          <w:lang w:val="zh-TW" w:eastAsia="zh-TW"/>
          <w14:textFill>
            <w14:solidFill>
              <w14:schemeClr w14:val="tx1"/>
            </w14:solidFill>
          </w14:textFill>
        </w:rPr>
        <w:t>台吹风机，女生宿舍楼每栋</w:t>
      </w:r>
      <w:r>
        <w:rPr>
          <w:rFonts w:hint="eastAsia" w:ascii="宋体" w:hAnsi="宋体" w:cs="宋体"/>
          <w:color w:val="000000" w:themeColor="text1"/>
          <w:sz w:val="24"/>
          <w14:textFill>
            <w14:solidFill>
              <w14:schemeClr w14:val="tx1"/>
            </w14:solidFill>
          </w14:textFill>
        </w:rPr>
        <w:t>每层</w:t>
      </w:r>
      <w:r>
        <w:rPr>
          <w:rFonts w:hint="eastAsia" w:ascii="宋体" w:hAnsi="宋体" w:cs="宋体"/>
          <w:color w:val="000000" w:themeColor="text1"/>
          <w:sz w:val="24"/>
          <w:lang w:val="zh-TW" w:eastAsia="zh-TW"/>
          <w14:textFill>
            <w14:solidFill>
              <w14:schemeClr w14:val="tx1"/>
            </w14:solidFill>
          </w14:textFill>
        </w:rPr>
        <w:t>安装</w:t>
      </w:r>
      <w:r>
        <w:rPr>
          <w:rFonts w:hint="eastAsia" w:ascii="宋体" w:hAnsi="宋体" w:cs="宋体"/>
          <w:color w:val="000000" w:themeColor="text1"/>
          <w:sz w:val="24"/>
          <w14:textFill>
            <w14:solidFill>
              <w14:schemeClr w14:val="tx1"/>
            </w14:solidFill>
          </w14:textFill>
        </w:rPr>
        <w:t>不少于4台</w:t>
      </w:r>
      <w:r>
        <w:rPr>
          <w:rFonts w:hint="eastAsia" w:ascii="宋体" w:hAnsi="宋体" w:cs="宋体"/>
          <w:color w:val="000000" w:themeColor="text1"/>
          <w:sz w:val="24"/>
          <w:lang w:val="zh-TW" w:eastAsia="zh-TW"/>
          <w14:textFill>
            <w14:solidFill>
              <w14:schemeClr w14:val="tx1"/>
            </w14:solidFill>
          </w14:textFill>
        </w:rPr>
        <w:t>吹风机，提供自助电吹风设备，</w:t>
      </w:r>
      <w:r>
        <w:rPr>
          <w:rFonts w:hint="eastAsia" w:ascii="宋体" w:hAnsi="宋体" w:cs="宋体"/>
          <w:color w:val="000000" w:themeColor="text1"/>
          <w:sz w:val="24"/>
          <w:lang w:val="en-US" w:eastAsia="zh-CN"/>
          <w14:textFill>
            <w14:solidFill>
              <w14:schemeClr w14:val="tx1"/>
            </w14:solidFill>
          </w14:textFill>
        </w:rPr>
        <w:t>总安装数不少于148台，</w:t>
      </w:r>
      <w:r>
        <w:rPr>
          <w:rFonts w:hint="eastAsia" w:ascii="宋体" w:hAnsi="宋体" w:cs="宋体"/>
          <w:color w:val="000000" w:themeColor="text1"/>
          <w:sz w:val="24"/>
          <w:lang w:val="zh-TW" w:eastAsia="zh-TW"/>
          <w14:textFill>
            <w14:solidFill>
              <w14:schemeClr w14:val="tx1"/>
            </w14:solidFill>
          </w14:textFill>
        </w:rPr>
        <w:t>并提供合约期间的维修、消毒、保洁、保养等服务。</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合同履行期限：3</w:t>
      </w:r>
      <w:r>
        <w:rPr>
          <w:rFonts w:hint="eastAsia" w:ascii="宋体" w:hAnsi="宋体" w:cs="宋体"/>
          <w:color w:val="000000" w:themeColor="text1"/>
          <w:sz w:val="24"/>
          <w:lang w:val="zh-TW" w:eastAsia="zh-TW"/>
          <w14:textFill>
            <w14:solidFill>
              <w14:schemeClr w14:val="tx1"/>
            </w14:solidFill>
          </w14:textFill>
        </w:rPr>
        <w:t>年</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bookmarkStart w:id="10" w:name="_Toc35393630"/>
      <w:bookmarkStart w:id="11" w:name="_Toc28359090"/>
      <w:bookmarkStart w:id="12" w:name="_Toc35393799"/>
      <w:bookmarkStart w:id="13" w:name="_Toc28359013"/>
      <w:r>
        <w:rPr>
          <w:rFonts w:hint="eastAsia" w:ascii="宋体" w:hAnsi="宋体" w:eastAsia="宋体" w:cs="宋体"/>
          <w:b w:val="0"/>
          <w:color w:val="000000" w:themeColor="text1"/>
          <w:sz w:val="24"/>
          <w:szCs w:val="24"/>
          <w14:textFill>
            <w14:solidFill>
              <w14:schemeClr w14:val="tx1"/>
            </w14:solidFill>
          </w14:textFill>
        </w:rPr>
        <w:t>二、申请人的资格要求：</w:t>
      </w:r>
      <w:bookmarkEnd w:id="10"/>
      <w:bookmarkEnd w:id="11"/>
      <w:bookmarkEnd w:id="12"/>
      <w:bookmarkEnd w:id="13"/>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1.满足《中华人民共和国政府采购法》第二十二条规定，并提供下列材料；</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(1)法人或者其他组织的营业执照等证明文件，自然人的身份证明；</w:t>
      </w:r>
    </w:p>
    <w:p>
      <w:pPr>
        <w:adjustRightInd w:val="0"/>
        <w:snapToGrid w:val="0"/>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(2)上一年度（2022年）的财务报表（成立不满一年不需提供）；</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(3)依法缴纳税收和社会保障资金的相关材料，依法免税或不需要缴纳社会保障资金的，应提供相应文件证明材料；</w:t>
      </w:r>
      <w:r>
        <w:rPr>
          <w:rFonts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(4)具备履行合同所必需的专业技术能力的书面声明；</w:t>
      </w:r>
    </w:p>
    <w:p>
      <w:pPr>
        <w:adjustRightInd w:val="0"/>
        <w:snapToGrid w:val="0"/>
        <w:spacing w:line="360" w:lineRule="auto"/>
        <w:ind w:left="480" w:hanging="480" w:hanging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(5)参加政府采购活动前3年内在经营活动中没有重大违法记录的书面声明；</w:t>
      </w:r>
    </w:p>
    <w:p>
      <w:pPr>
        <w:pStyle w:val="6"/>
        <w:spacing w:after="0" w:line="360" w:lineRule="auto"/>
        <w:ind w:firstLine="480" w:firstLineChars="200"/>
        <w:rPr>
          <w:rFonts w:ascii="宋体" w:hAnsi="宋体"/>
          <w:color w:val="000000" w:themeColor="text1"/>
          <w:sz w:val="24"/>
          <w14:textFill>
            <w14:solidFill>
              <w14:schemeClr w14:val="tx1"/>
            </w14:solidFill>
          </w14:textFill>
        </w:rPr>
      </w:pPr>
      <w:bookmarkStart w:id="14" w:name="_Toc28359014"/>
      <w:bookmarkStart w:id="15" w:name="_Toc28359091"/>
      <w:r>
        <w:rPr>
          <w:rFonts w:hint="eastAsia" w:ascii="宋体" w:hAnsi="宋体" w:cs="宋体"/>
          <w:color w:val="000000" w:themeColor="text1"/>
          <w:sz w:val="24"/>
          <w14:textFill>
            <w14:solidFill>
              <w14:schemeClr w14:val="tx1"/>
            </w14:solidFill>
          </w14:textFill>
        </w:rPr>
        <w:t>2.落实政府采购政策需满足的资格要求</w:t>
      </w:r>
      <w:r>
        <w:rPr>
          <w:rFonts w:hint="eastAsia" w:ascii="宋体" w:hAnsi="宋体"/>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本项目为专门面向中小企业采购的项目,供应商须为中小微企业，不接受大型企业参与本项目投标。供应商投标时须提供《中小型企业声明函》，否则按无效处理。</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w:t>
      </w:r>
    </w:p>
    <w:p>
      <w:pPr>
        <w:adjustRightInd w:val="0"/>
        <w:snapToGrid w:val="0"/>
        <w:spacing w:line="360" w:lineRule="auto"/>
        <w:ind w:firstLine="547" w:firstLine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adjustRightInd w:val="0"/>
        <w:snapToGrid w:val="0"/>
        <w:spacing w:line="360" w:lineRule="auto"/>
        <w:ind w:firstLine="547" w:firstLineChars="22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（2）单位负责人为同一人或者存在直接控股、管理关系的不同供应商，不得同时参加本采购活动。</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bookmarkStart w:id="16" w:name="_Toc35393800"/>
      <w:bookmarkStart w:id="17" w:name="_Toc35393631"/>
      <w:r>
        <w:rPr>
          <w:rFonts w:hint="eastAsia" w:ascii="宋体" w:hAnsi="宋体" w:eastAsia="宋体" w:cs="宋体"/>
          <w:b w:val="0"/>
          <w:color w:val="000000" w:themeColor="text1"/>
          <w:sz w:val="24"/>
          <w:szCs w:val="24"/>
          <w14:textFill>
            <w14:solidFill>
              <w14:schemeClr w14:val="tx1"/>
            </w14:solidFill>
          </w14:textFill>
        </w:rPr>
        <w:t>三、获取采购文件</w:t>
      </w:r>
      <w:bookmarkEnd w:id="14"/>
      <w:bookmarkEnd w:id="15"/>
      <w:bookmarkEnd w:id="16"/>
      <w:bookmarkEnd w:id="17"/>
    </w:p>
    <w:p>
      <w:pPr>
        <w:widowControl/>
        <w:snapToGrid w:val="0"/>
        <w:spacing w:line="360" w:lineRule="auto"/>
        <w:ind w:firstLine="480" w:firstLineChars="200"/>
        <w:textAlignment w:val="baseline"/>
        <w:rPr>
          <w:rStyle w:val="163"/>
          <w:rFonts w:ascii="宋体" w:hAnsi="宋体" w:cs="宋体"/>
          <w:color w:val="000000" w:themeColor="text1"/>
          <w:sz w:val="24"/>
          <w14:textFill>
            <w14:solidFill>
              <w14:schemeClr w14:val="tx1"/>
            </w14:solidFill>
          </w14:textFill>
        </w:rPr>
      </w:pPr>
      <w:bookmarkStart w:id="18" w:name="_Toc28359092"/>
      <w:bookmarkStart w:id="19" w:name="_Toc35393801"/>
      <w:bookmarkStart w:id="20" w:name="_Toc35393632"/>
      <w:bookmarkStart w:id="21" w:name="_Toc28359015"/>
      <w:r>
        <w:rPr>
          <w:rStyle w:val="163"/>
          <w:rFonts w:hint="eastAsia" w:ascii="宋体" w:hAnsi="宋体" w:cs="宋体"/>
          <w:color w:val="000000" w:themeColor="text1"/>
          <w:sz w:val="24"/>
          <w14:textFill>
            <w14:solidFill>
              <w14:schemeClr w14:val="tx1"/>
            </w14:solidFill>
          </w14:textFill>
        </w:rPr>
        <w:t>时间：自公告之日起至投标截止时间前1日</w:t>
      </w:r>
    </w:p>
    <w:p>
      <w:pPr>
        <w:widowControl/>
        <w:snapToGrid w:val="0"/>
        <w:spacing w:line="360" w:lineRule="auto"/>
        <w:ind w:firstLine="480" w:firstLineChars="200"/>
        <w:textAlignment w:val="baseline"/>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地点：盐城工业职业技术学院招标采购网</w:t>
      </w:r>
    </w:p>
    <w:p>
      <w:pPr>
        <w:widowControl/>
        <w:snapToGrid w:val="0"/>
        <w:spacing w:line="360" w:lineRule="auto"/>
        <w:ind w:firstLine="480" w:firstLineChars="200"/>
        <w:textAlignment w:val="baseline"/>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方式：符合资格要求的投标人可自行下载采购文件，采购文件见盐城工业职业技术学院招标采购网本公告附件。</w:t>
      </w:r>
    </w:p>
    <w:p>
      <w:pPr>
        <w:widowControl/>
        <w:adjustRightInd w:val="0"/>
        <w:snapToGrid w:val="0"/>
        <w:spacing w:line="360" w:lineRule="auto"/>
        <w:ind w:firstLine="480" w:firstLineChars="200"/>
        <w:textAlignment w:val="baseline"/>
        <w:rPr>
          <w:rStyle w:val="163"/>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报名时间及地点：本公告发布后凡具备上述资格条件，并自愿参加本项目投标的投标人应于2023年</w:t>
      </w:r>
      <w:r>
        <w:rPr>
          <w:rFonts w:hint="eastAsia" w:ascii="宋体" w:hAnsi="宋体" w:cs="宋体"/>
          <w:bCs/>
          <w:color w:val="000000" w:themeColor="text1"/>
          <w:sz w:val="24"/>
          <w:lang w:val="en-US" w:eastAsia="zh-CN"/>
          <w14:textFill>
            <w14:solidFill>
              <w14:schemeClr w14:val="tx1"/>
            </w14:solidFill>
          </w14:textFill>
        </w:rPr>
        <w:t>12</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日至2023年</w:t>
      </w:r>
      <w:r>
        <w:rPr>
          <w:rFonts w:hint="eastAsia" w:ascii="宋体" w:hAnsi="宋体" w:cs="宋体"/>
          <w:bCs/>
          <w:color w:val="000000" w:themeColor="text1"/>
          <w:sz w:val="24"/>
          <w:lang w:val="en-US" w:eastAsia="zh-CN"/>
          <w14:textFill>
            <w14:solidFill>
              <w14:schemeClr w14:val="tx1"/>
            </w14:solidFill>
          </w14:textFill>
        </w:rPr>
        <w:t>12</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12</w:t>
      </w:r>
      <w:r>
        <w:rPr>
          <w:rFonts w:hint="eastAsia" w:ascii="宋体" w:hAnsi="宋体" w:cs="宋体"/>
          <w:bCs/>
          <w:color w:val="000000" w:themeColor="text1"/>
          <w:sz w:val="24"/>
          <w14:textFill>
            <w14:solidFill>
              <w14:schemeClr w14:val="tx1"/>
            </w14:solidFill>
          </w14:textFill>
        </w:rPr>
        <w:t>日委派本单位正式人员携带单位介绍信或授权委托书扫描件至我单位或添加微信（微信号:13024494996）购买招标文件，逾期的不予接收。</w:t>
      </w:r>
    </w:p>
    <w:p>
      <w:pPr>
        <w:widowControl/>
        <w:snapToGrid w:val="0"/>
        <w:spacing w:line="360" w:lineRule="auto"/>
        <w:ind w:firstLine="480" w:firstLineChars="200"/>
        <w:textAlignment w:val="baseline"/>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售价：人民币500元，售后不退。</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四、响应文件提交</w:t>
      </w:r>
      <w:bookmarkEnd w:id="18"/>
      <w:bookmarkEnd w:id="19"/>
      <w:bookmarkEnd w:id="20"/>
      <w:bookmarkEnd w:id="21"/>
    </w:p>
    <w:p>
      <w:pPr>
        <w:adjustRightInd w:val="0"/>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截止时间：</w:t>
      </w:r>
      <w:r>
        <w:rPr>
          <w:rFonts w:hint="eastAsia" w:ascii="宋体" w:hAnsi="宋体" w:cs="宋体"/>
          <w:color w:val="000000" w:themeColor="text1"/>
          <w:sz w:val="24"/>
          <w:u w:val="single"/>
          <w14:textFill>
            <w14:solidFill>
              <w14:schemeClr w14:val="tx1"/>
            </w14:solidFill>
          </w14:textFill>
        </w:rPr>
        <w:t>2023</w:t>
      </w:r>
      <w:r>
        <w:rPr>
          <w:rFonts w:hint="eastAsia" w:ascii="宋体" w:hAnsi="宋体" w:cs="宋体"/>
          <w:bCs/>
          <w:color w:val="000000" w:themeColor="text1"/>
          <w:sz w:val="24"/>
          <w:u w:val="single"/>
          <w14:textFill>
            <w14:solidFill>
              <w14:schemeClr w14:val="tx1"/>
            </w14:solidFill>
          </w14:textFill>
        </w:rPr>
        <w:t>年</w:t>
      </w:r>
      <w:r>
        <w:rPr>
          <w:rFonts w:hint="eastAsia" w:ascii="宋体" w:hAnsi="宋体" w:cs="宋体"/>
          <w:bCs/>
          <w:color w:val="000000" w:themeColor="text1"/>
          <w:sz w:val="24"/>
          <w:u w:val="single"/>
          <w:lang w:val="en-US" w:eastAsia="zh-CN"/>
          <w14:textFill>
            <w14:solidFill>
              <w14:schemeClr w14:val="tx1"/>
            </w14:solidFill>
          </w14:textFill>
        </w:rPr>
        <w:t>12</w:t>
      </w:r>
      <w:r>
        <w:rPr>
          <w:rFonts w:hint="eastAsia" w:ascii="宋体" w:hAnsi="宋体" w:cs="宋体"/>
          <w:bCs/>
          <w:color w:val="000000" w:themeColor="text1"/>
          <w:sz w:val="24"/>
          <w:u w:val="single"/>
          <w14:textFill>
            <w14:solidFill>
              <w14:schemeClr w14:val="tx1"/>
            </w14:solidFill>
          </w14:textFill>
        </w:rPr>
        <w:t>月</w:t>
      </w:r>
      <w:r>
        <w:rPr>
          <w:rFonts w:hint="eastAsia" w:ascii="宋体" w:hAnsi="宋体" w:cs="宋体"/>
          <w:bCs/>
          <w:color w:val="000000" w:themeColor="text1"/>
          <w:sz w:val="24"/>
          <w:u w:val="single"/>
          <w:lang w:val="en-US" w:eastAsia="zh-CN"/>
          <w14:textFill>
            <w14:solidFill>
              <w14:schemeClr w14:val="tx1"/>
            </w14:solidFill>
          </w14:textFill>
        </w:rPr>
        <w:t>15</w:t>
      </w:r>
      <w:r>
        <w:rPr>
          <w:rFonts w:hint="eastAsia" w:ascii="宋体" w:hAnsi="宋体" w:cs="宋体"/>
          <w:bCs/>
          <w:color w:val="000000" w:themeColor="text1"/>
          <w:sz w:val="24"/>
          <w:u w:val="single"/>
          <w14:textFill>
            <w14:solidFill>
              <w14:schemeClr w14:val="tx1"/>
            </w14:solidFill>
          </w14:textFill>
        </w:rPr>
        <w:t>日9点00分</w:t>
      </w:r>
      <w:r>
        <w:rPr>
          <w:rFonts w:hint="eastAsia" w:ascii="宋体" w:hAnsi="宋体" w:cs="宋体"/>
          <w:bCs/>
          <w:color w:val="000000" w:themeColor="text1"/>
          <w:sz w:val="24"/>
          <w14:textFill>
            <w14:solidFill>
              <w14:schemeClr w14:val="tx1"/>
            </w14:solidFill>
          </w14:textFill>
        </w:rPr>
        <w:t>（北京时间）</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w:t>
      </w:r>
      <w:r>
        <w:rPr>
          <w:rStyle w:val="163"/>
          <w:rFonts w:hint="eastAsia" w:ascii="宋体" w:hAnsi="宋体" w:cs="宋体"/>
          <w:color w:val="000000" w:themeColor="text1"/>
          <w:sz w:val="24"/>
          <w14:textFill>
            <w14:solidFill>
              <w14:schemeClr w14:val="tx1"/>
            </w14:solidFill>
          </w14:textFill>
        </w:rPr>
        <w:t>盐城工业职业技术学院（盐城市解放南路285号）南食堂四楼402开标室。</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bookmarkStart w:id="22" w:name="_Toc35393633"/>
      <w:bookmarkStart w:id="23" w:name="_Toc35393802"/>
      <w:bookmarkStart w:id="24" w:name="_Toc28359016"/>
      <w:bookmarkStart w:id="25" w:name="_Toc28359093"/>
      <w:bookmarkStart w:id="26" w:name="_Toc35393803"/>
      <w:bookmarkStart w:id="27" w:name="_Toc28359017"/>
      <w:bookmarkStart w:id="28" w:name="_Toc28359094"/>
      <w:bookmarkStart w:id="29" w:name="_Toc35393634"/>
      <w:r>
        <w:rPr>
          <w:rFonts w:hint="eastAsia" w:ascii="宋体" w:hAnsi="宋体" w:eastAsia="宋体" w:cs="宋体"/>
          <w:b w:val="0"/>
          <w:color w:val="000000" w:themeColor="text1"/>
          <w:sz w:val="24"/>
          <w:szCs w:val="24"/>
          <w14:textFill>
            <w14:solidFill>
              <w14:schemeClr w14:val="tx1"/>
            </w14:solidFill>
          </w14:textFill>
        </w:rPr>
        <w:t>五、开启</w:t>
      </w:r>
      <w:bookmarkEnd w:id="22"/>
      <w:bookmarkEnd w:id="23"/>
      <w:bookmarkEnd w:id="24"/>
      <w:bookmarkEnd w:id="25"/>
    </w:p>
    <w:p>
      <w:pPr>
        <w:adjustRightInd w:val="0"/>
        <w:snapToGrid w:val="0"/>
        <w:spacing w:line="360" w:lineRule="auto"/>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u w:val="single"/>
          <w14:textFill>
            <w14:solidFill>
              <w14:schemeClr w14:val="tx1"/>
            </w14:solidFill>
          </w14:textFill>
        </w:rPr>
        <w:t>2023</w:t>
      </w:r>
      <w:r>
        <w:rPr>
          <w:rFonts w:hint="eastAsia" w:ascii="宋体" w:hAnsi="宋体" w:cs="宋体"/>
          <w:bCs/>
          <w:color w:val="000000" w:themeColor="text1"/>
          <w:sz w:val="24"/>
          <w:u w:val="single"/>
          <w14:textFill>
            <w14:solidFill>
              <w14:schemeClr w14:val="tx1"/>
            </w14:solidFill>
          </w14:textFill>
        </w:rPr>
        <w:t>年</w:t>
      </w:r>
      <w:r>
        <w:rPr>
          <w:rFonts w:hint="eastAsia" w:ascii="宋体" w:hAnsi="宋体" w:cs="宋体"/>
          <w:bCs/>
          <w:color w:val="000000" w:themeColor="text1"/>
          <w:sz w:val="24"/>
          <w:u w:val="single"/>
          <w:lang w:val="en-US" w:eastAsia="zh-CN"/>
          <w14:textFill>
            <w14:solidFill>
              <w14:schemeClr w14:val="tx1"/>
            </w14:solidFill>
          </w14:textFill>
        </w:rPr>
        <w:t>12</w:t>
      </w:r>
      <w:r>
        <w:rPr>
          <w:rFonts w:hint="eastAsia" w:ascii="宋体" w:hAnsi="宋体" w:cs="宋体"/>
          <w:bCs/>
          <w:color w:val="000000" w:themeColor="text1"/>
          <w:sz w:val="24"/>
          <w:u w:val="single"/>
          <w14:textFill>
            <w14:solidFill>
              <w14:schemeClr w14:val="tx1"/>
            </w14:solidFill>
          </w14:textFill>
        </w:rPr>
        <w:t>月</w:t>
      </w:r>
      <w:r>
        <w:rPr>
          <w:rFonts w:hint="eastAsia" w:ascii="宋体" w:hAnsi="宋体" w:cs="宋体"/>
          <w:bCs/>
          <w:color w:val="000000" w:themeColor="text1"/>
          <w:sz w:val="24"/>
          <w:u w:val="single"/>
          <w:lang w:val="en-US" w:eastAsia="zh-CN"/>
          <w14:textFill>
            <w14:solidFill>
              <w14:schemeClr w14:val="tx1"/>
            </w14:solidFill>
          </w14:textFill>
        </w:rPr>
        <w:t>15</w:t>
      </w:r>
      <w:r>
        <w:rPr>
          <w:rFonts w:hint="eastAsia" w:ascii="宋体" w:hAnsi="宋体" w:cs="宋体"/>
          <w:bCs/>
          <w:color w:val="000000" w:themeColor="text1"/>
          <w:sz w:val="24"/>
          <w:u w:val="single"/>
          <w14:textFill>
            <w14:solidFill>
              <w14:schemeClr w14:val="tx1"/>
            </w14:solidFill>
          </w14:textFill>
        </w:rPr>
        <w:t>日9点00分</w:t>
      </w:r>
      <w:r>
        <w:rPr>
          <w:rFonts w:hint="eastAsia" w:ascii="宋体" w:hAnsi="宋体" w:cs="宋体"/>
          <w:bCs/>
          <w:color w:val="000000" w:themeColor="text1"/>
          <w:sz w:val="24"/>
          <w14:textFill>
            <w14:solidFill>
              <w14:schemeClr w14:val="tx1"/>
            </w14:solidFill>
          </w14:textFill>
        </w:rPr>
        <w:t>（北京时间）</w:t>
      </w:r>
    </w:p>
    <w:p>
      <w:pPr>
        <w:adjustRightInd w:val="0"/>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w:t>
      </w:r>
      <w:r>
        <w:rPr>
          <w:rStyle w:val="163"/>
          <w:rFonts w:hint="eastAsia" w:ascii="宋体" w:hAnsi="宋体" w:cs="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color w:val="000000" w:themeColor="text1"/>
          <w:sz w:val="24"/>
          <w14:textFill>
            <w14:solidFill>
              <w14:schemeClr w14:val="tx1"/>
            </w14:solidFill>
          </w14:textFill>
        </w:rPr>
        <w:t xml:space="preserve"> </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六、公告期限</w:t>
      </w:r>
      <w:bookmarkEnd w:id="26"/>
      <w:bookmarkEnd w:id="27"/>
      <w:bookmarkEnd w:id="28"/>
      <w:bookmarkEnd w:id="29"/>
    </w:p>
    <w:p>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w:t>
      </w:r>
      <w:r>
        <w:rPr>
          <w:rFonts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个工作日。</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bookmarkStart w:id="30" w:name="_Toc35393635"/>
      <w:bookmarkStart w:id="31" w:name="_Toc35393804"/>
      <w:r>
        <w:rPr>
          <w:rFonts w:hint="eastAsia" w:ascii="宋体" w:hAnsi="宋体" w:eastAsia="宋体" w:cs="宋体"/>
          <w:b w:val="0"/>
          <w:color w:val="000000" w:themeColor="text1"/>
          <w:sz w:val="24"/>
          <w:szCs w:val="24"/>
          <w14:textFill>
            <w14:solidFill>
              <w14:schemeClr w14:val="tx1"/>
            </w14:solidFill>
          </w14:textFill>
        </w:rPr>
        <w:t>七、其他补充事宜</w:t>
      </w:r>
      <w:bookmarkEnd w:id="30"/>
      <w:bookmarkEnd w:id="31"/>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bookmarkStart w:id="32" w:name="_Toc35393805"/>
      <w:bookmarkStart w:id="33" w:name="_Toc28359018"/>
      <w:bookmarkStart w:id="34" w:name="_Toc28359095"/>
      <w:bookmarkStart w:id="35" w:name="_Toc35393636"/>
      <w:r>
        <w:rPr>
          <w:rFonts w:hint="eastAsia" w:ascii="宋体" w:hAnsi="宋体" w:cs="宋体"/>
          <w:color w:val="000000" w:themeColor="text1"/>
          <w:sz w:val="24"/>
          <w14:textFill>
            <w14:solidFill>
              <w14:schemeClr w14:val="tx1"/>
            </w14:solidFill>
          </w14:textFill>
        </w:rPr>
        <w:t>1、响应文件正本1份，副本4份。</w:t>
      </w:r>
    </w:p>
    <w:p>
      <w:pPr>
        <w:pStyle w:val="164"/>
        <w:tabs>
          <w:tab w:val="left" w:pos="0"/>
          <w:tab w:val="left" w:pos="3165"/>
          <w:tab w:val="center" w:pos="4153"/>
        </w:tabs>
        <w:snapToGrid w:val="0"/>
        <w:spacing w:line="360" w:lineRule="auto"/>
        <w:ind w:firstLine="480" w:firstLineChars="200"/>
        <w:jc w:val="left"/>
        <w:rPr>
          <w:rStyle w:val="163"/>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Style w:val="163"/>
          <w:rFonts w:hint="eastAsia" w:ascii="宋体" w:hAnsi="宋体" w:eastAsia="宋体" w:cs="宋体"/>
          <w:color w:val="000000" w:themeColor="text1"/>
          <w:sz w:val="24"/>
          <w:szCs w:val="24"/>
          <w14:textFill>
            <w14:solidFill>
              <w14:schemeClr w14:val="tx1"/>
            </w14:solidFill>
          </w14:textFill>
        </w:rPr>
        <w:t>本采购项目投标人无需交纳（提交）投标保证金。</w:t>
      </w:r>
    </w:p>
    <w:p>
      <w:pPr>
        <w:pStyle w:val="8"/>
        <w:adjustRightInd w:val="0"/>
        <w:snapToGrid w:val="0"/>
        <w:spacing w:before="0" w:after="0" w:line="360" w:lineRule="auto"/>
        <w:jc w:val="both"/>
        <w:rPr>
          <w:rFonts w:ascii="宋体" w:hAnsi="宋体" w:eastAsia="宋体" w:cs="宋体"/>
          <w:b w:val="0"/>
          <w:color w:val="000000" w:themeColor="text1"/>
          <w:sz w:val="24"/>
          <w:szCs w:val="24"/>
          <w14:textFill>
            <w14:solidFill>
              <w14:schemeClr w14:val="tx1"/>
            </w14:solidFill>
          </w14:textFill>
        </w:rPr>
      </w:pPr>
      <w:r>
        <w:rPr>
          <w:rFonts w:hint="eastAsia" w:ascii="宋体" w:hAnsi="宋体" w:eastAsia="宋体" w:cs="宋体"/>
          <w:b w:val="0"/>
          <w:color w:val="000000" w:themeColor="text1"/>
          <w:sz w:val="24"/>
          <w:szCs w:val="24"/>
          <w14:textFill>
            <w14:solidFill>
              <w14:schemeClr w14:val="tx1"/>
            </w14:solidFill>
          </w14:textFill>
        </w:rPr>
        <w:t>八、凡对本次采购提出询问，请按以下方式联系。</w:t>
      </w:r>
      <w:bookmarkEnd w:id="32"/>
      <w:bookmarkEnd w:id="33"/>
      <w:bookmarkEnd w:id="34"/>
      <w:bookmarkEnd w:id="35"/>
    </w:p>
    <w:p>
      <w:pPr>
        <w:snapToGrid w:val="0"/>
        <w:spacing w:line="360" w:lineRule="auto"/>
        <w:ind w:firstLine="480" w:firstLineChars="200"/>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1.采购人信息</w:t>
      </w:r>
    </w:p>
    <w:p>
      <w:pPr>
        <w:snapToGrid w:val="0"/>
        <w:spacing w:line="360" w:lineRule="auto"/>
        <w:ind w:firstLine="480" w:firstLineChars="200"/>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名称：盐城工业职业技术学院</w:t>
      </w:r>
    </w:p>
    <w:p>
      <w:pPr>
        <w:snapToGrid w:val="0"/>
        <w:spacing w:line="360" w:lineRule="auto"/>
        <w:ind w:firstLine="480" w:firstLineChars="200"/>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地址：盐城市解放南路285号</w:t>
      </w:r>
    </w:p>
    <w:p>
      <w:pPr>
        <w:snapToGrid w:val="0"/>
        <w:spacing w:line="360" w:lineRule="auto"/>
        <w:ind w:firstLine="480" w:firstLineChars="200"/>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 xml:space="preserve">联系人：赵老师             </w:t>
      </w:r>
    </w:p>
    <w:p>
      <w:pPr>
        <w:snapToGrid w:val="0"/>
        <w:spacing w:line="360" w:lineRule="auto"/>
        <w:ind w:firstLine="480" w:firstLineChars="200"/>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联系电话：0515-88588707</w:t>
      </w:r>
    </w:p>
    <w:p>
      <w:pPr>
        <w:snapToGrid w:val="0"/>
        <w:spacing w:line="360" w:lineRule="auto"/>
        <w:ind w:firstLine="480" w:firstLineChars="200"/>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2.采购代理机构信息</w:t>
      </w:r>
    </w:p>
    <w:p>
      <w:pPr>
        <w:snapToGrid w:val="0"/>
        <w:spacing w:line="360" w:lineRule="auto"/>
        <w:ind w:firstLine="480" w:firstLineChars="200"/>
        <w:rPr>
          <w:rStyle w:val="163"/>
          <w:rFonts w:hint="eastAsia" w:ascii="宋体" w:hAnsi="宋体" w:eastAsia="宋体" w:cs="宋体"/>
          <w:color w:val="000000" w:themeColor="text1"/>
          <w:sz w:val="24"/>
          <w:lang w:eastAsia="zh-CN"/>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名称：</w:t>
      </w:r>
      <w:r>
        <w:rPr>
          <w:rStyle w:val="163"/>
          <w:rFonts w:hint="eastAsia" w:ascii="宋体" w:hAnsi="宋体" w:cs="宋体"/>
          <w:color w:val="000000" w:themeColor="text1"/>
          <w:sz w:val="24"/>
          <w:lang w:eastAsia="zh-CN"/>
          <w14:textFill>
            <w14:solidFill>
              <w14:schemeClr w14:val="tx1"/>
            </w14:solidFill>
          </w14:textFill>
        </w:rPr>
        <w:t>南京建淳造价师事务所有限公司</w:t>
      </w:r>
    </w:p>
    <w:p>
      <w:pPr>
        <w:snapToGrid w:val="0"/>
        <w:spacing w:line="360" w:lineRule="auto"/>
        <w:ind w:firstLine="480" w:firstLineChars="200"/>
        <w:rPr>
          <w:rStyle w:val="163"/>
          <w:rFonts w:hint="eastAsia" w:ascii="宋体" w:hAnsi="宋体" w:eastAsia="宋体" w:cs="宋体"/>
          <w:color w:val="000000" w:themeColor="text1"/>
          <w:sz w:val="24"/>
          <w:lang w:eastAsia="zh-CN"/>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地址：</w:t>
      </w:r>
      <w:r>
        <w:rPr>
          <w:rStyle w:val="163"/>
          <w:rFonts w:hint="eastAsia" w:ascii="宋体" w:hAnsi="宋体" w:cs="宋体"/>
          <w:color w:val="000000" w:themeColor="text1"/>
          <w:sz w:val="24"/>
          <w:lang w:eastAsia="zh-CN"/>
          <w14:textFill>
            <w14:solidFill>
              <w14:schemeClr w14:val="tx1"/>
            </w14:solidFill>
          </w14:textFill>
        </w:rPr>
        <w:t>盐城市金融城四号楼1103室</w:t>
      </w:r>
    </w:p>
    <w:p>
      <w:pPr>
        <w:snapToGrid w:val="0"/>
        <w:spacing w:line="360" w:lineRule="auto"/>
        <w:ind w:firstLine="480" w:firstLineChars="200"/>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联系人：</w:t>
      </w:r>
      <w:r>
        <w:rPr>
          <w:rStyle w:val="163"/>
          <w:rFonts w:hint="eastAsia" w:ascii="宋体" w:hAnsi="宋体" w:cs="宋体"/>
          <w:color w:val="000000" w:themeColor="text1"/>
          <w:sz w:val="24"/>
          <w:lang w:val="en-US" w:eastAsia="zh-CN"/>
          <w14:textFill>
            <w14:solidFill>
              <w14:schemeClr w14:val="tx1"/>
            </w14:solidFill>
          </w14:textFill>
        </w:rPr>
        <w:t>周</w:t>
      </w:r>
      <w:r>
        <w:rPr>
          <w:rStyle w:val="163"/>
          <w:rFonts w:hint="eastAsia" w:ascii="宋体" w:hAnsi="宋体" w:cs="宋体"/>
          <w:color w:val="000000" w:themeColor="text1"/>
          <w:sz w:val="24"/>
          <w14:textFill>
            <w14:solidFill>
              <w14:schemeClr w14:val="tx1"/>
            </w14:solidFill>
          </w14:textFill>
        </w:rPr>
        <w:t>先生              </w:t>
      </w:r>
    </w:p>
    <w:p>
      <w:pPr>
        <w:snapToGrid w:val="0"/>
        <w:spacing w:line="360" w:lineRule="auto"/>
        <w:ind w:firstLine="480" w:firstLineChars="200"/>
        <w:rPr>
          <w:rStyle w:val="163"/>
          <w:rFonts w:hint="eastAsia" w:ascii="宋体" w:hAnsi="宋体" w:eastAsia="宋体" w:cs="宋体"/>
          <w:color w:val="000000" w:themeColor="text1"/>
          <w:sz w:val="24"/>
          <w:lang w:eastAsia="zh-CN"/>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联系电话：</w:t>
      </w:r>
      <w:bookmarkStart w:id="167" w:name="_GoBack"/>
      <w:bookmarkEnd w:id="167"/>
      <w:r>
        <w:rPr>
          <w:rStyle w:val="163"/>
          <w:rFonts w:hint="eastAsia" w:ascii="宋体" w:hAnsi="宋体" w:cs="宋体"/>
          <w:color w:val="000000" w:themeColor="text1"/>
          <w:sz w:val="24"/>
          <w:lang w:eastAsia="zh-CN"/>
          <w14:textFill>
            <w14:solidFill>
              <w14:schemeClr w14:val="tx1"/>
            </w14:solidFill>
          </w14:textFill>
        </w:rPr>
        <w:t>13024494996</w:t>
      </w:r>
    </w:p>
    <w:p>
      <w:pPr>
        <w:snapToGrid w:val="0"/>
        <w:spacing w:line="360" w:lineRule="auto"/>
        <w:ind w:firstLine="480" w:firstLineChars="200"/>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3.项目联系方式</w:t>
      </w:r>
    </w:p>
    <w:p>
      <w:pPr>
        <w:snapToGrid w:val="0"/>
        <w:spacing w:line="360" w:lineRule="auto"/>
        <w:ind w:firstLine="480" w:firstLineChars="200"/>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项目联系人：</w:t>
      </w:r>
      <w:r>
        <w:rPr>
          <w:rStyle w:val="163"/>
          <w:rFonts w:hint="eastAsia" w:ascii="宋体" w:hAnsi="宋体" w:cs="宋体"/>
          <w:color w:val="000000" w:themeColor="text1"/>
          <w:sz w:val="24"/>
          <w:lang w:val="en-US" w:eastAsia="zh-CN"/>
          <w14:textFill>
            <w14:solidFill>
              <w14:schemeClr w14:val="tx1"/>
            </w14:solidFill>
          </w14:textFill>
        </w:rPr>
        <w:t>周</w:t>
      </w:r>
      <w:r>
        <w:rPr>
          <w:rStyle w:val="163"/>
          <w:rFonts w:hint="eastAsia" w:ascii="宋体" w:hAnsi="宋体" w:cs="宋体"/>
          <w:color w:val="000000" w:themeColor="text1"/>
          <w:sz w:val="24"/>
          <w14:textFill>
            <w14:solidFill>
              <w14:schemeClr w14:val="tx1"/>
            </w14:solidFill>
          </w14:textFill>
        </w:rPr>
        <w:t>老师、 高老师</w:t>
      </w:r>
    </w:p>
    <w:p>
      <w:pPr>
        <w:snapToGrid w:val="0"/>
        <w:spacing w:line="360" w:lineRule="auto"/>
        <w:ind w:firstLine="480" w:firstLineChars="200"/>
        <w:rPr>
          <w:rStyle w:val="163"/>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联系电话：1</w:t>
      </w:r>
      <w:r>
        <w:rPr>
          <w:rStyle w:val="163"/>
          <w:rFonts w:hint="eastAsia" w:ascii="宋体" w:hAnsi="宋体" w:cs="宋体"/>
          <w:color w:val="000000" w:themeColor="text1"/>
          <w:sz w:val="24"/>
          <w:lang w:val="en-US" w:eastAsia="zh-CN"/>
          <w14:textFill>
            <w14:solidFill>
              <w14:schemeClr w14:val="tx1"/>
            </w14:solidFill>
          </w14:textFill>
        </w:rPr>
        <w:t>8962085257</w:t>
      </w:r>
      <w:r>
        <w:rPr>
          <w:rStyle w:val="163"/>
          <w:rFonts w:hint="eastAsia" w:ascii="宋体" w:hAnsi="宋体" w:cs="宋体"/>
          <w:color w:val="000000" w:themeColor="text1"/>
          <w:sz w:val="24"/>
          <w14:textFill>
            <w14:solidFill>
              <w14:schemeClr w14:val="tx1"/>
            </w14:solidFill>
          </w14:textFill>
        </w:rPr>
        <w:t xml:space="preserve"> 18262393599 </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Style w:val="163"/>
          <w:rFonts w:hint="eastAsia" w:ascii="宋体" w:hAnsi="宋体" w:cs="宋体"/>
          <w:color w:val="000000" w:themeColor="text1"/>
          <w:sz w:val="24"/>
          <w14:textFill>
            <w14:solidFill>
              <w14:schemeClr w14:val="tx1"/>
            </w14:solidFill>
          </w14:textFill>
        </w:rPr>
        <w:t>对项目需求部分的询问、质疑请向使用部门提出，询问、质疑由项目联系人负责答复。</w:t>
      </w:r>
    </w:p>
    <w:p>
      <w:pPr>
        <w:pStyle w:val="6"/>
        <w:rPr>
          <w:rFonts w:ascii="宋体" w:hAnsi="宋体" w:cs="宋体"/>
          <w:color w:val="000000" w:themeColor="text1"/>
          <w:sz w:val="24"/>
          <w14:textFill>
            <w14:solidFill>
              <w14:schemeClr w14:val="tx1"/>
            </w14:solidFill>
          </w14:textFill>
        </w:rPr>
      </w:pPr>
    </w:p>
    <w:p>
      <w:pPr>
        <w:widowControl/>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br w:type="page"/>
      </w:r>
    </w:p>
    <w:bookmarkEnd w:id="3"/>
    <w:bookmarkEnd w:id="4"/>
    <w:bookmarkEnd w:id="5"/>
    <w:p>
      <w:pPr>
        <w:keepNext/>
        <w:keepLines/>
        <w:spacing w:before="260" w:after="260" w:line="416" w:lineRule="auto"/>
        <w:jc w:val="center"/>
        <w:outlineLvl w:val="0"/>
        <w:rPr>
          <w:rFonts w:ascii="黑体" w:hAnsi="Arial" w:eastAsia="黑体" w:cs="Arial"/>
          <w:b/>
          <w:bCs/>
          <w:color w:val="000000" w:themeColor="text1"/>
          <w:sz w:val="44"/>
          <w:szCs w:val="44"/>
          <w14:textFill>
            <w14:solidFill>
              <w14:schemeClr w14:val="tx1"/>
            </w14:solidFill>
          </w14:textFill>
        </w:rPr>
      </w:pPr>
      <w:bookmarkStart w:id="36" w:name="_Toc4407"/>
      <w:r>
        <w:rPr>
          <w:rFonts w:hint="eastAsia" w:ascii="黑体" w:hAnsi="Arial" w:eastAsia="黑体" w:cs="Arial"/>
          <w:b/>
          <w:bCs/>
          <w:color w:val="000000" w:themeColor="text1"/>
          <w:sz w:val="44"/>
          <w:szCs w:val="44"/>
          <w14:textFill>
            <w14:solidFill>
              <w14:schemeClr w14:val="tx1"/>
            </w14:solidFill>
          </w14:textFill>
        </w:rPr>
        <w:t>第二章  磋商须知</w:t>
      </w:r>
      <w:bookmarkEnd w:id="36"/>
    </w:p>
    <w:p>
      <w:pPr>
        <w:spacing w:after="145" w:afterLines="50" w:line="360" w:lineRule="auto"/>
        <w:jc w:val="center"/>
        <w:rPr>
          <w:rFonts w:ascii="宋体" w:hAnsi="宋体"/>
          <w:b/>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（参加竞争性磋商的供应商以下简称“磋商供应商”）</w:t>
      </w:r>
    </w:p>
    <w:p>
      <w:pPr>
        <w:tabs>
          <w:tab w:val="left" w:pos="900"/>
        </w:tabs>
        <w:spacing w:line="500" w:lineRule="exact"/>
        <w:ind w:firstLine="585" w:firstLineChars="243"/>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一、总则</w:t>
      </w:r>
    </w:p>
    <w:p>
      <w:pPr>
        <w:tabs>
          <w:tab w:val="left" w:pos="900"/>
        </w:tabs>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1、适用范围</w:t>
      </w:r>
    </w:p>
    <w:p>
      <w:pPr>
        <w:tabs>
          <w:tab w:val="left" w:pos="900"/>
        </w:tabs>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本竞争性磋商文件（以下简称磋商文件）仅适用此项目。</w:t>
      </w:r>
    </w:p>
    <w:p>
      <w:pPr>
        <w:tabs>
          <w:tab w:val="left" w:pos="900"/>
        </w:tabs>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本项目按照项目分包，分别确定各分包成交供应商。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2、项目采购方式</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本次采购采取竞争性磋商的方式。</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3、合格的磋商供应商</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3.1满足本磋商文件“竞争性磋商采购公告”中合格磋商供应商资格要求的规定。</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 满足本磋商文件实质性要求和条件的规定。</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4、参加磋商费用</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4.1参加磋商供应商应自行承担所有与参加磋商有关的费用。不论最终的成交结果如何，盐城工业职业技术学院（以下简称：采购人）在任何情况下均无义务和责任承担这些费用。</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4.2本项目中标人与采购人签订合同前领取中标通知书时须向采购代理机构支付招标代理服务费，收费按</w:t>
      </w:r>
      <w:r>
        <w:rPr>
          <w:rFonts w:hint="eastAsia" w:ascii="宋体" w:hAnsi="宋体" w:cs="宋体"/>
          <w:color w:val="000000" w:themeColor="text1"/>
          <w:sz w:val="24"/>
          <w:lang w:val="en-US" w:eastAsia="zh-CN"/>
          <w14:textFill>
            <w14:solidFill>
              <w14:schemeClr w14:val="tx1"/>
            </w14:solidFill>
          </w14:textFill>
        </w:rPr>
        <w:t>3000元收取</w:t>
      </w:r>
      <w:r>
        <w:rPr>
          <w:rFonts w:hint="eastAsia" w:ascii="宋体" w:hAnsi="宋体" w:cs="宋体"/>
          <w:color w:val="000000" w:themeColor="text1"/>
          <w:sz w:val="24"/>
          <w14:textFill>
            <w14:solidFill>
              <w14:schemeClr w14:val="tx1"/>
            </w14:solidFill>
          </w14:textFill>
        </w:rPr>
        <w:t>；上述费用由各投标人在投标时自行综合考虑分摊含进投标报价中，且不得单列，采购人不再承担上述费用。</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5、磋商文件的约束力</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bookmarkStart w:id="37" w:name="_Toc16938527"/>
      <w:bookmarkStart w:id="38" w:name="_Toc20823283"/>
      <w:bookmarkStart w:id="39" w:name="_Toc513029211"/>
      <w:bookmarkStart w:id="40" w:name="_Toc462564070"/>
      <w:r>
        <w:rPr>
          <w:rFonts w:hint="eastAsia" w:ascii="宋体" w:hAnsi="宋体" w:cs="宋体"/>
          <w:color w:val="000000" w:themeColor="text1"/>
          <w:sz w:val="24"/>
          <w14:textFill>
            <w14:solidFill>
              <w14:schemeClr w14:val="tx1"/>
            </w14:solidFill>
          </w14:textFill>
        </w:rPr>
        <w:t>磋商文件的</w:t>
      </w:r>
      <w:bookmarkEnd w:id="37"/>
      <w:bookmarkEnd w:id="38"/>
      <w:bookmarkEnd w:id="39"/>
      <w:bookmarkEnd w:id="40"/>
      <w:r>
        <w:rPr>
          <w:rFonts w:hint="eastAsia" w:ascii="宋体" w:hAnsi="宋体" w:cs="宋体"/>
          <w:color w:val="000000" w:themeColor="text1"/>
          <w:sz w:val="24"/>
          <w14:textFill>
            <w14:solidFill>
              <w14:schemeClr w14:val="tx1"/>
            </w14:solidFill>
          </w14:textFill>
        </w:rPr>
        <w:t>询问及修改</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任何要求对磋商文件进行询问的供应商，均应在提交首次响应文件截止时间五日前按采购邀请中的通讯地址，向采购人或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color w:val="000000" w:themeColor="text1"/>
          <w:sz w:val="24"/>
          <w14:textFill>
            <w14:solidFill>
              <w14:schemeClr w14:val="tx1"/>
            </w14:solidFill>
          </w14:textFill>
        </w:rPr>
        <w:t>市住房和城乡建设局</w:t>
      </w:r>
      <w:r>
        <w:rPr>
          <w:rFonts w:hint="eastAsia" w:ascii="宋体" w:hAnsi="宋体" w:cs="宋体"/>
          <w:color w:val="000000" w:themeColor="text1"/>
          <w:sz w:val="24"/>
          <w14:textFill>
            <w14:solidFill>
              <w14:schemeClr w14:val="tx1"/>
            </w14:solidFill>
          </w14:textFill>
        </w:rPr>
        <w:t>网上发布书面更正公告形式通知所有获取磋商文件的供应商。不足五日的，采购人应当顺延提交首次响应文件截止时间。</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6.2采购人或代理机构可以视采购项目的具体情况，组织供应商进行现场考察或召开磋商前答疑会，但不单独或分别组织只有一个供应商参加的现场考察和答疑会。</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7、磋商文件的解释</w:t>
      </w:r>
    </w:p>
    <w:p>
      <w:pPr>
        <w:spacing w:line="500" w:lineRule="exact"/>
        <w:ind w:firstLine="600" w:firstLineChars="25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7.1 本磋商文件由盐城工业职业技术学院负责解释。</w:t>
      </w:r>
    </w:p>
    <w:p>
      <w:pPr>
        <w:tabs>
          <w:tab w:val="left" w:pos="900"/>
        </w:tabs>
        <w:spacing w:line="500" w:lineRule="exact"/>
        <w:ind w:firstLine="479" w:firstLineChars="199"/>
        <w:rPr>
          <w:rFonts w:ascii="宋体" w:hAnsi="宋体" w:cs="宋体"/>
          <w:b/>
          <w:color w:val="000000" w:themeColor="text1"/>
          <w:sz w:val="24"/>
          <w14:textFill>
            <w14:solidFill>
              <w14:schemeClr w14:val="tx1"/>
            </w14:solidFill>
          </w14:textFill>
        </w:rPr>
      </w:pPr>
      <w:bookmarkStart w:id="41" w:name="_Toc462564072"/>
      <w:bookmarkStart w:id="42" w:name="_Toc513029213"/>
      <w:bookmarkStart w:id="43" w:name="_Toc61149553"/>
      <w:bookmarkStart w:id="44" w:name="_Toc14577351"/>
      <w:r>
        <w:rPr>
          <w:rFonts w:hint="eastAsia" w:ascii="宋体" w:hAnsi="宋体" w:cs="宋体"/>
          <w:b/>
          <w:color w:val="000000" w:themeColor="text1"/>
          <w:sz w:val="24"/>
          <w14:textFill>
            <w14:solidFill>
              <w14:schemeClr w14:val="tx1"/>
            </w14:solidFill>
          </w14:textFill>
        </w:rPr>
        <w:t>二、磋商响应文件的编制</w:t>
      </w:r>
      <w:bookmarkEnd w:id="41"/>
      <w:bookmarkEnd w:id="42"/>
      <w:bookmarkEnd w:id="43"/>
      <w:bookmarkEnd w:id="44"/>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bookmarkStart w:id="45" w:name="_Toc513029223"/>
      <w:bookmarkStart w:id="46" w:name="_Toc61149561"/>
      <w:bookmarkStart w:id="47" w:name="_Toc14577361"/>
      <w:r>
        <w:rPr>
          <w:rFonts w:hint="eastAsia" w:ascii="宋体" w:hAnsi="宋体" w:cs="宋体"/>
          <w:color w:val="000000" w:themeColor="text1"/>
          <w:sz w:val="24"/>
          <w14:textFill>
            <w14:solidFill>
              <w14:schemeClr w14:val="tx1"/>
            </w14:solidFill>
          </w14:textFill>
        </w:rPr>
        <w:t>1、磋商响应文件份数和签署</w:t>
      </w:r>
      <w:bookmarkEnd w:id="45"/>
      <w:bookmarkEnd w:id="46"/>
      <w:bookmarkEnd w:id="47"/>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1.1磋商供应商应严格按照采购邀请要求准备磋商响应文件（以下简称响应文件），每份响应文件须清楚地标明“正本”或“副本”字样。</w:t>
      </w:r>
    </w:p>
    <w:p>
      <w:pPr>
        <w:snapToGrid w:val="0"/>
        <w:spacing w:line="500" w:lineRule="exact"/>
        <w:ind w:firstLine="48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除磋商供应商对错处做必要修改外，响应文件不得行间插字、涂改或增删。如有修改错漏处，必须由响应文件签署人签字或盖章。</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bookmarkStart w:id="48" w:name="_Hlt26954834"/>
      <w:bookmarkEnd w:id="48"/>
      <w:bookmarkStart w:id="49" w:name="_Toc462564074"/>
      <w:bookmarkStart w:id="50" w:name="_Toc61149555"/>
      <w:bookmarkStart w:id="51" w:name="_Toc513029215"/>
      <w:bookmarkStart w:id="52" w:name="_Toc14577353"/>
      <w:bookmarkStart w:id="53" w:name="_Toc462564073"/>
      <w:bookmarkStart w:id="54" w:name="_Toc61149554"/>
      <w:bookmarkStart w:id="55" w:name="_Toc513029214"/>
      <w:bookmarkStart w:id="56" w:name="_Toc14577352"/>
      <w:r>
        <w:rPr>
          <w:rFonts w:hint="eastAsia" w:ascii="宋体" w:hAnsi="宋体" w:cs="宋体"/>
          <w:color w:val="000000" w:themeColor="text1"/>
          <w:sz w:val="24"/>
          <w14:textFill>
            <w14:solidFill>
              <w14:schemeClr w14:val="tx1"/>
            </w14:solidFill>
          </w14:textFill>
        </w:rPr>
        <w:t>2、响应文件</w:t>
      </w:r>
      <w:bookmarkEnd w:id="49"/>
      <w:bookmarkEnd w:id="50"/>
      <w:bookmarkEnd w:id="51"/>
      <w:bookmarkEnd w:id="52"/>
      <w:r>
        <w:rPr>
          <w:rFonts w:hint="eastAsia" w:ascii="宋体" w:hAnsi="宋体" w:cs="宋体"/>
          <w:color w:val="000000" w:themeColor="text1"/>
          <w:sz w:val="24"/>
          <w14:textFill>
            <w14:solidFill>
              <w14:schemeClr w14:val="tx1"/>
            </w14:solidFill>
          </w14:textFill>
        </w:rPr>
        <w:t>编制要求</w:t>
      </w:r>
    </w:p>
    <w:bookmarkEnd w:id="53"/>
    <w:bookmarkEnd w:id="54"/>
    <w:bookmarkEnd w:id="55"/>
    <w:bookmarkEnd w:id="56"/>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2.1磋商供应商提交的响应文件以及磋商供应商与购人就有关磋商的所有来往函电均应使用简体中文。磋商文件中既有中文也有外文的，以中文意义为准。</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除技术性能另有规定外，响应文件所使用的度量衡单位，均须采用国家法定计量单位。</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bookmarkStart w:id="57" w:name="_Hlt26670357"/>
      <w:bookmarkEnd w:id="57"/>
      <w:bookmarkStart w:id="58" w:name="_Hlt26954836"/>
      <w:bookmarkEnd w:id="58"/>
      <w:bookmarkStart w:id="59" w:name="_Toc61149558"/>
      <w:bookmarkStart w:id="60" w:name="_Toc513029219"/>
      <w:bookmarkStart w:id="61" w:name="_Toc14577357"/>
      <w:bookmarkStart w:id="62" w:name="_Toc513029217"/>
      <w:bookmarkStart w:id="63" w:name="_Toc14577355"/>
      <w:bookmarkStart w:id="64" w:name="_Toc61149557"/>
      <w:r>
        <w:rPr>
          <w:rFonts w:hint="eastAsia" w:ascii="宋体" w:hAnsi="宋体" w:cs="宋体"/>
          <w:color w:val="000000" w:themeColor="text1"/>
          <w:sz w:val="24"/>
          <w14:textFill>
            <w14:solidFill>
              <w14:schemeClr w14:val="tx1"/>
            </w14:solidFill>
          </w14:textFill>
        </w:rPr>
        <w:t>3、参加磋商供应商资格的文件</w:t>
      </w:r>
      <w:bookmarkEnd w:id="59"/>
      <w:bookmarkEnd w:id="60"/>
      <w:bookmarkEnd w:id="61"/>
      <w:r>
        <w:rPr>
          <w:rFonts w:hint="eastAsia" w:ascii="宋体" w:hAnsi="宋体" w:cs="宋体"/>
          <w:color w:val="000000" w:themeColor="text1"/>
          <w:sz w:val="24"/>
          <w14:textFill>
            <w14:solidFill>
              <w14:schemeClr w14:val="tx1"/>
            </w14:solidFill>
          </w14:textFill>
        </w:rPr>
        <w:t>证明</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bookmarkStart w:id="65" w:name="_Hlt26668999"/>
      <w:bookmarkEnd w:id="65"/>
      <w:r>
        <w:rPr>
          <w:rFonts w:hint="eastAsia" w:ascii="宋体" w:hAnsi="宋体" w:cs="宋体"/>
          <w:color w:val="000000" w:themeColor="text1"/>
          <w:sz w:val="24"/>
          <w14:textFill>
            <w14:solidFill>
              <w14:schemeClr w14:val="tx1"/>
            </w14:solidFill>
          </w14:textFill>
        </w:rPr>
        <w:t>3.1磋商供应商应提交证明其有资格参加磋商和成交后有能力独立履行合同的文件，并作为其响应文件的一部分。</w:t>
      </w:r>
    </w:p>
    <w:p>
      <w:pPr>
        <w:tabs>
          <w:tab w:val="left" w:pos="900"/>
        </w:tabs>
        <w:spacing w:line="500" w:lineRule="exact"/>
        <w:ind w:left="120" w:leftChars="57"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3.2磋商供应商除必须具有履行合同所需提供的设备以及服务的能力外，还必须具备相应的财务、技术方面的能力。</w:t>
      </w:r>
    </w:p>
    <w:p>
      <w:pPr>
        <w:tabs>
          <w:tab w:val="left" w:pos="900"/>
        </w:tabs>
        <w:spacing w:line="500" w:lineRule="exact"/>
        <w:ind w:firstLine="597" w:firstLineChars="24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3.3磋商供应商应填写并提交磋商文件所附的“资信证明文件”。</w:t>
      </w:r>
    </w:p>
    <w:p>
      <w:pPr>
        <w:tabs>
          <w:tab w:val="left" w:pos="900"/>
        </w:tabs>
        <w:spacing w:line="500" w:lineRule="exact"/>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4、磋商响应报价</w:t>
      </w:r>
      <w:bookmarkEnd w:id="62"/>
      <w:bookmarkEnd w:id="63"/>
      <w:bookmarkStart w:id="66" w:name="_Hlt26670373"/>
      <w:bookmarkEnd w:id="66"/>
      <w:r>
        <w:rPr>
          <w:rFonts w:hint="eastAsia" w:ascii="宋体" w:hAnsi="宋体" w:cs="宋体"/>
          <w:color w:val="000000" w:themeColor="text1"/>
          <w:sz w:val="24"/>
          <w14:textFill>
            <w14:solidFill>
              <w14:schemeClr w14:val="tx1"/>
            </w14:solidFill>
          </w14:textFill>
        </w:rPr>
        <w:t>表</w:t>
      </w:r>
      <w:bookmarkEnd w:id="64"/>
    </w:p>
    <w:p>
      <w:pPr>
        <w:tabs>
          <w:tab w:val="left" w:pos="900"/>
        </w:tabs>
        <w:spacing w:line="500" w:lineRule="exact"/>
        <w:ind w:left="120" w:leftChars="57"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4.2标的物</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详见项目需求。</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4.3有关费用处理</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本次采购磋商供应商的总报价应包括为完成本项目发生的所有费用，本磋商文件中另有规定的除外。</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4.4其它费用处理</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磋商文件未列明，而磋商供应商认为必须的费用也须列入报价。</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4.5报价采用的货币</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响应文件中的单价和总价，无特殊规定的采用人民币报价，以元为单位标注。磋商文件中另有规定的按规定执行。</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4.6 磋商响应报价表上的价格应按磋商文件规定填写。</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67" w:name="_Hlt26954731"/>
      <w:bookmarkEnd w:id="67"/>
      <w:bookmarkStart w:id="68" w:name="_Hlt26670486"/>
      <w:bookmarkEnd w:id="68"/>
      <w:bookmarkStart w:id="69" w:name="_Hlt26670403"/>
      <w:bookmarkEnd w:id="69"/>
      <w:bookmarkStart w:id="70" w:name="_Hlt26954842"/>
      <w:bookmarkEnd w:id="70"/>
      <w:bookmarkStart w:id="71" w:name="_Hlt26954846"/>
      <w:bookmarkEnd w:id="71"/>
      <w:bookmarkStart w:id="72" w:name="_Hlt26954848"/>
      <w:bookmarkEnd w:id="72"/>
      <w:bookmarkStart w:id="73" w:name="_Hlt26670482"/>
      <w:bookmarkEnd w:id="73"/>
      <w:bookmarkStart w:id="74" w:name="_Hlt26954844"/>
      <w:bookmarkEnd w:id="74"/>
      <w:bookmarkStart w:id="75" w:name="_Hlt26668983"/>
      <w:bookmarkEnd w:id="75"/>
      <w:bookmarkStart w:id="76" w:name="_Hlt26670425"/>
      <w:bookmarkEnd w:id="76"/>
      <w:bookmarkStart w:id="77" w:name="_Toc61149559"/>
      <w:bookmarkStart w:id="78" w:name="_Toc513029221"/>
      <w:bookmarkStart w:id="79" w:name="_Toc14577359"/>
      <w:r>
        <w:rPr>
          <w:rFonts w:hint="eastAsia" w:ascii="宋体" w:hAnsi="宋体" w:cs="宋体"/>
          <w:color w:val="000000" w:themeColor="text1"/>
          <w:sz w:val="24"/>
          <w14:textFill>
            <w14:solidFill>
              <w14:schemeClr w14:val="tx1"/>
            </w14:solidFill>
          </w14:textFill>
        </w:rPr>
        <w:t>5、项目需求响应方案</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5.1提供为完成本项目的总体实施方案。</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5.2对磋商文件中项目需求的技术与商务条款要求逐项作出应答，并提供依据或说明。</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5.3磋商供应商认为需要的其他技术文件或说明。</w:t>
      </w:r>
    </w:p>
    <w:bookmarkEnd w:id="77"/>
    <w:bookmarkEnd w:id="78"/>
    <w:bookmarkEnd w:id="79"/>
    <w:p>
      <w:pPr>
        <w:tabs>
          <w:tab w:val="left" w:pos="900"/>
        </w:tabs>
        <w:spacing w:line="500" w:lineRule="exact"/>
        <w:ind w:firstLine="479" w:firstLineChars="199"/>
        <w:rPr>
          <w:rFonts w:ascii="宋体" w:hAnsi="宋体" w:cs="宋体"/>
          <w:b/>
          <w:color w:val="000000" w:themeColor="text1"/>
          <w:sz w:val="24"/>
          <w14:textFill>
            <w14:solidFill>
              <w14:schemeClr w14:val="tx1"/>
            </w14:solidFill>
          </w14:textFill>
        </w:rPr>
      </w:pPr>
      <w:bookmarkStart w:id="80" w:name="_Hlt26954854"/>
      <w:bookmarkEnd w:id="80"/>
      <w:bookmarkStart w:id="81" w:name="_Hlt26954749"/>
      <w:bookmarkEnd w:id="81"/>
      <w:bookmarkStart w:id="82" w:name="_Hlt26670493"/>
      <w:bookmarkEnd w:id="82"/>
      <w:bookmarkStart w:id="83" w:name="_Hlt26954852"/>
      <w:bookmarkEnd w:id="83"/>
      <w:bookmarkStart w:id="84" w:name="_Hlt26954850"/>
      <w:bookmarkEnd w:id="84"/>
      <w:bookmarkStart w:id="85" w:name="_Hlt26954734"/>
      <w:bookmarkEnd w:id="85"/>
      <w:bookmarkStart w:id="86" w:name="_Hlt26954739"/>
      <w:bookmarkEnd w:id="86"/>
      <w:bookmarkStart w:id="87" w:name="_Hlt26670489"/>
      <w:bookmarkEnd w:id="87"/>
      <w:bookmarkStart w:id="88" w:name="_Toc61149562"/>
      <w:bookmarkStart w:id="89" w:name="_Toc14577362"/>
      <w:bookmarkStart w:id="90" w:name="_Toc513029224"/>
      <w:r>
        <w:rPr>
          <w:rFonts w:hint="eastAsia" w:ascii="宋体" w:hAnsi="宋体" w:cs="宋体"/>
          <w:b/>
          <w:color w:val="000000" w:themeColor="text1"/>
          <w:sz w:val="24"/>
          <w14:textFill>
            <w14:solidFill>
              <w14:schemeClr w14:val="tx1"/>
            </w14:solidFill>
          </w14:textFill>
        </w:rPr>
        <w:t>三、响应文件的递交</w:t>
      </w:r>
      <w:bookmarkEnd w:id="88"/>
      <w:bookmarkEnd w:id="89"/>
      <w:bookmarkEnd w:id="90"/>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91" w:name="_Hlt26954856"/>
      <w:bookmarkEnd w:id="91"/>
      <w:bookmarkStart w:id="92" w:name="_Toc61149563"/>
      <w:bookmarkStart w:id="93" w:name="_Toc513029225"/>
      <w:bookmarkStart w:id="94" w:name="_Toc462564084"/>
      <w:bookmarkStart w:id="95" w:name="_Toc14577363"/>
      <w:r>
        <w:rPr>
          <w:rFonts w:hint="eastAsia" w:ascii="宋体" w:hAnsi="宋体" w:cs="宋体"/>
          <w:color w:val="000000" w:themeColor="text1"/>
          <w:sz w:val="24"/>
          <w14:textFill>
            <w14:solidFill>
              <w14:schemeClr w14:val="tx1"/>
            </w14:solidFill>
          </w14:textFill>
        </w:rPr>
        <w:t>1、响应文件</w:t>
      </w:r>
      <w:bookmarkStart w:id="96" w:name="_Hlt26954743"/>
      <w:bookmarkEnd w:id="96"/>
      <w:r>
        <w:rPr>
          <w:rFonts w:hint="eastAsia" w:ascii="宋体" w:hAnsi="宋体" w:cs="宋体"/>
          <w:color w:val="000000" w:themeColor="text1"/>
          <w:sz w:val="24"/>
          <w14:textFill>
            <w14:solidFill>
              <w14:schemeClr w14:val="tx1"/>
            </w14:solidFill>
          </w14:textFill>
        </w:rPr>
        <w:t>的密封和标记</w:t>
      </w:r>
      <w:bookmarkEnd w:id="92"/>
      <w:bookmarkEnd w:id="93"/>
      <w:bookmarkEnd w:id="94"/>
      <w:bookmarkEnd w:id="95"/>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1.2密封的响应文件应：</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（1）按采购邀请中注明的地址送达规定地点；</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（2）注明参加磋商项目名称、磋商文件编号及参加的分包号；</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（3）密封包装上应写明磋商供应商名称。</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1.3如果密封包装未按要求密封和加写标记，采购人对误投或过早启封概不负责。对由此造成提前开封的响应文件，采购人将予以拒绝。</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97" w:name="_Hlt26954858"/>
      <w:bookmarkEnd w:id="97"/>
      <w:bookmarkStart w:id="98" w:name="_Hlt26670496"/>
      <w:bookmarkEnd w:id="98"/>
      <w:bookmarkStart w:id="99" w:name="_Hlt26954752"/>
      <w:bookmarkEnd w:id="99"/>
      <w:bookmarkStart w:id="100" w:name="_Toc14577364"/>
      <w:bookmarkStart w:id="101" w:name="_Toc513029226"/>
      <w:bookmarkStart w:id="102" w:name="_Toc61149564"/>
      <w:r>
        <w:rPr>
          <w:rFonts w:hint="eastAsia" w:ascii="宋体" w:hAnsi="宋体" w:cs="宋体"/>
          <w:color w:val="000000" w:themeColor="text1"/>
          <w:sz w:val="24"/>
          <w14:textFill>
            <w14:solidFill>
              <w14:schemeClr w14:val="tx1"/>
            </w14:solidFill>
          </w14:textFill>
        </w:rPr>
        <w:t>2、</w:t>
      </w:r>
      <w:bookmarkEnd w:id="100"/>
      <w:bookmarkEnd w:id="101"/>
      <w:bookmarkEnd w:id="102"/>
      <w:r>
        <w:rPr>
          <w:rFonts w:hint="eastAsia" w:ascii="宋体" w:hAnsi="宋体" w:cs="宋体"/>
          <w:color w:val="000000" w:themeColor="text1"/>
          <w:sz w:val="24"/>
          <w14:textFill>
            <w14:solidFill>
              <w14:schemeClr w14:val="tx1"/>
            </w14:solidFill>
          </w14:textFill>
        </w:rPr>
        <w:t>响应文件开启时间</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2.1采购人收到响应文件的时间不得迟于本磋商文件规定的响应文件接收截止时间。</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2.2采购人有权通过修改磋商文件推迟响应文件接收截止时间，在此情况下，磋商供应商的所有权利和义务以及受制的响应文件接收截止时间均应以延长后新的响应文件接收截止时间为准。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03" w:name="_Hlt26954860"/>
      <w:bookmarkEnd w:id="103"/>
      <w:bookmarkStart w:id="104" w:name="_Toc513029227"/>
      <w:bookmarkStart w:id="105" w:name="_Toc14577365"/>
      <w:bookmarkStart w:id="106" w:name="_Toc61149565"/>
      <w:r>
        <w:rPr>
          <w:rFonts w:hint="eastAsia" w:ascii="宋体" w:hAnsi="宋体" w:cs="宋体"/>
          <w:color w:val="000000" w:themeColor="text1"/>
          <w:sz w:val="24"/>
          <w14:textFill>
            <w14:solidFill>
              <w14:schemeClr w14:val="tx1"/>
            </w14:solidFill>
          </w14:textFill>
        </w:rPr>
        <w:t>3、迟交的响应文件</w:t>
      </w:r>
      <w:bookmarkEnd w:id="104"/>
      <w:bookmarkEnd w:id="105"/>
      <w:bookmarkEnd w:id="106"/>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3.1采购人将拒绝在规定的响应文件接收截止时间后接收任何响应文件。</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07" w:name="_Hlt26954754"/>
      <w:bookmarkEnd w:id="107"/>
      <w:bookmarkStart w:id="108" w:name="_Hlt26954862"/>
      <w:bookmarkEnd w:id="108"/>
      <w:bookmarkStart w:id="109" w:name="_Toc14577366"/>
      <w:bookmarkStart w:id="110" w:name="_Toc61149566"/>
      <w:bookmarkStart w:id="111" w:name="_Toc513029228"/>
      <w:r>
        <w:rPr>
          <w:rFonts w:hint="eastAsia" w:ascii="宋体" w:hAnsi="宋体" w:cs="宋体"/>
          <w:color w:val="000000" w:themeColor="text1"/>
          <w:sz w:val="24"/>
          <w14:textFill>
            <w14:solidFill>
              <w14:schemeClr w14:val="tx1"/>
            </w14:solidFill>
          </w14:textFill>
        </w:rPr>
        <w:t>4、响应文件</w:t>
      </w:r>
      <w:bookmarkStart w:id="112" w:name="_Hlt26670588"/>
      <w:r>
        <w:rPr>
          <w:rFonts w:hint="eastAsia" w:ascii="宋体" w:hAnsi="宋体" w:cs="宋体"/>
          <w:color w:val="000000" w:themeColor="text1"/>
          <w:sz w:val="24"/>
          <w14:textFill>
            <w14:solidFill>
              <w14:schemeClr w14:val="tx1"/>
            </w14:solidFill>
          </w14:textFill>
        </w:rPr>
        <w:t>的修改</w:t>
      </w:r>
      <w:bookmarkEnd w:id="112"/>
      <w:r>
        <w:rPr>
          <w:rFonts w:hint="eastAsia" w:ascii="宋体" w:hAnsi="宋体" w:cs="宋体"/>
          <w:color w:val="000000" w:themeColor="text1"/>
          <w:sz w:val="24"/>
          <w14:textFill>
            <w14:solidFill>
              <w14:schemeClr w14:val="tx1"/>
            </w14:solidFill>
          </w14:textFill>
        </w:rPr>
        <w:t>和撤回</w:t>
      </w:r>
      <w:bookmarkEnd w:id="109"/>
      <w:bookmarkEnd w:id="110"/>
      <w:bookmarkEnd w:id="111"/>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4.1磋商供应商在递交响应文件后，可以修改或撤回其谈判响应文件，但这种修改和撤回，必须在规定的响应文件接收截止时间前，以书面形式送达指定地点。</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4.2磋商供应商的修改或撤回通知书，应按本文件规定进行编制、密封、标记和发送，并应在封套上加注“修改”和“撤回”字样。</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磋商供应商在提交最后报价之前，可以根据磋商情况退出磋商。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5、磋商响应有效期</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磋商响应有效期为采购人规定的响应文件接收截止时间后六十（60）天。磋商响应有效期比规定短的将被视为非实质性响应性而予以拒绝。</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在特殊情况下，采购人于原磋商响应有效期满之前，可向磋商供应商提出延长磋商响应有效期的要求。这种要求与答复均应采用书面形式。磋商供应商可以拒绝采购人的这一要求而放弃磋商响应。同意延长磋商响应有效期的磋商供应商既不能要求也不允许修改其响应文件，受磋商响应有效期约束的所有权利与义务均延长至新的有效期。</w:t>
      </w:r>
    </w:p>
    <w:p>
      <w:pPr>
        <w:tabs>
          <w:tab w:val="left" w:pos="900"/>
        </w:tabs>
        <w:spacing w:line="500" w:lineRule="exact"/>
        <w:ind w:firstLine="479" w:firstLineChars="199"/>
        <w:rPr>
          <w:rFonts w:ascii="宋体" w:hAnsi="宋体" w:cs="宋体"/>
          <w:b/>
          <w:color w:val="000000" w:themeColor="text1"/>
          <w:sz w:val="24"/>
          <w14:textFill>
            <w14:solidFill>
              <w14:schemeClr w14:val="tx1"/>
            </w14:solidFill>
          </w14:textFill>
        </w:rPr>
      </w:pPr>
      <w:bookmarkStart w:id="113" w:name="_Hlt26670523"/>
      <w:bookmarkEnd w:id="113"/>
      <w:bookmarkStart w:id="114" w:name="_Hlt26954864"/>
      <w:bookmarkEnd w:id="114"/>
      <w:r>
        <w:rPr>
          <w:rFonts w:hint="eastAsia" w:ascii="宋体" w:hAnsi="宋体" w:cs="宋体"/>
          <w:b/>
          <w:color w:val="000000" w:themeColor="text1"/>
          <w:sz w:val="24"/>
          <w14:textFill>
            <w14:solidFill>
              <w14:schemeClr w14:val="tx1"/>
            </w14:solidFill>
          </w14:textFill>
        </w:rPr>
        <w:t>四、磋商与评审</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15" w:name="_Toc20823302"/>
      <w:bookmarkStart w:id="116" w:name="_Toc16938546"/>
      <w:bookmarkStart w:id="117" w:name="_Toc513029230"/>
      <w:r>
        <w:rPr>
          <w:rFonts w:hint="eastAsia" w:ascii="宋体" w:hAnsi="宋体" w:cs="宋体"/>
          <w:color w:val="000000" w:themeColor="text1"/>
          <w:sz w:val="24"/>
          <w14:textFill>
            <w14:solidFill>
              <w14:schemeClr w14:val="tx1"/>
            </w14:solidFill>
          </w14:textFill>
        </w:rPr>
        <w:t>1、</w:t>
      </w:r>
      <w:bookmarkEnd w:id="115"/>
      <w:bookmarkEnd w:id="116"/>
      <w:bookmarkEnd w:id="117"/>
      <w:r>
        <w:rPr>
          <w:rFonts w:hint="eastAsia" w:ascii="宋体" w:hAnsi="宋体" w:cs="宋体"/>
          <w:color w:val="000000" w:themeColor="text1"/>
          <w:sz w:val="24"/>
          <w14:textFill>
            <w14:solidFill>
              <w14:schemeClr w14:val="tx1"/>
            </w14:solidFill>
          </w14:textFill>
        </w:rPr>
        <w:t>磋商仪式</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1.1按规定的时间和地点组织磋商开始仪式，仪式由采购人或代理机构主持，磋商供应商应委派携带有效证件的代表准时参加，参加仪式的代表需签名以证明其出席。</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18" w:name="_Toc513029231"/>
      <w:bookmarkStart w:id="119" w:name="_Toc20823303"/>
      <w:bookmarkStart w:id="120" w:name="_Toc16938547"/>
      <w:r>
        <w:rPr>
          <w:rFonts w:hint="eastAsia" w:ascii="宋体" w:hAnsi="宋体" w:cs="宋体"/>
          <w:color w:val="000000" w:themeColor="text1"/>
          <w:sz w:val="24"/>
          <w14:textFill>
            <w14:solidFill>
              <w14:schemeClr w14:val="tx1"/>
            </w14:solidFill>
          </w14:textFill>
        </w:rPr>
        <w:t>2、磋商小组</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磋商开始仪式结束后，采购人或代理机构组织磋商小组进行评审。</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磋商小组由政府采购评审专家、采购人代表组成，且人员构成符合政府采购有关规定。</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3、磋商评审过程的保密</w:t>
      </w:r>
      <w:bookmarkEnd w:id="118"/>
      <w:bookmarkEnd w:id="119"/>
      <w:bookmarkEnd w:id="120"/>
      <w:r>
        <w:rPr>
          <w:rFonts w:hint="eastAsia" w:ascii="宋体" w:hAnsi="宋体" w:cs="宋体"/>
          <w:color w:val="000000" w:themeColor="text1"/>
          <w:sz w:val="24"/>
          <w14:textFill>
            <w14:solidFill>
              <w14:schemeClr w14:val="tx1"/>
            </w14:solidFill>
          </w14:textFill>
        </w:rPr>
        <w:t>与公正</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3.1磋商小组、采购人和代理机构工作人员、相关监督人员等与评审工作有关的人员，对评审情况以及在评审过程中获悉的国家秘密、商业秘密负有保密责任。</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3.2在磋商评审过程中，磋商供应商不得以任何行为影响磋商评审过程，否则其响应文件将被作为无效响应文件。</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21" w:name="_Toc20823304"/>
      <w:bookmarkStart w:id="122" w:name="_Toc513029232"/>
      <w:bookmarkStart w:id="123" w:name="_Toc16938548"/>
      <w:r>
        <w:rPr>
          <w:rFonts w:hint="eastAsia" w:ascii="宋体" w:hAnsi="宋体" w:cs="宋体"/>
          <w:color w:val="000000" w:themeColor="text1"/>
          <w:sz w:val="24"/>
          <w14:textFill>
            <w14:solidFill>
              <w14:schemeClr w14:val="tx1"/>
            </w14:solidFill>
          </w14:textFill>
        </w:rPr>
        <w:t>4、评审过程的澄清</w:t>
      </w:r>
      <w:bookmarkEnd w:id="121"/>
      <w:bookmarkEnd w:id="122"/>
      <w:bookmarkEnd w:id="123"/>
      <w:r>
        <w:rPr>
          <w:rFonts w:hint="eastAsia" w:ascii="宋体" w:hAnsi="宋体" w:cs="宋体"/>
          <w:color w:val="000000" w:themeColor="text1"/>
          <w:sz w:val="24"/>
          <w14:textFill>
            <w14:solidFill>
              <w14:schemeClr w14:val="tx1"/>
            </w14:solidFill>
          </w14:textFill>
        </w:rPr>
        <w:t>、说明和更正</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 接到磋商小组澄清要求的供应商如未按规定做出澄清，其风险由供应商自行承担。</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24" w:name="_Toc513029233"/>
      <w:bookmarkStart w:id="125" w:name="_Toc16938549"/>
      <w:bookmarkStart w:id="126" w:name="_Toc20823305"/>
      <w:r>
        <w:rPr>
          <w:rFonts w:hint="eastAsia" w:ascii="宋体" w:hAnsi="宋体" w:cs="宋体"/>
          <w:color w:val="000000" w:themeColor="text1"/>
          <w:sz w:val="24"/>
          <w14:textFill>
            <w14:solidFill>
              <w14:schemeClr w14:val="tx1"/>
            </w14:solidFill>
          </w14:textFill>
        </w:rPr>
        <w:t>5、对响应文件的初审</w:t>
      </w:r>
      <w:bookmarkEnd w:id="124"/>
      <w:bookmarkEnd w:id="125"/>
      <w:bookmarkEnd w:id="126"/>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5.1响应文件初审分为资格性检查和符合性检查。</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资格性检查：依据法律法规和磋商文件的规定，对响应文件中的资格证明文件等进行审查，以确定供应商是否具备参加磋商的资格。</w:t>
      </w:r>
    </w:p>
    <w:p>
      <w:pPr>
        <w:wordWrap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符合性检查：依据磋商文件的规定，从响应文件的有效性、完整性和对磋商文件的响应程度进行审查，以确定是否对磋商文件的实质性要求作出响应。</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被认定为未实质性响应磋商文件的响应文件的情形</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（1）未按照磋商文件规定要求密封、签署、盖章的；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（2）供应商在报价时采用选择性报价；</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（3）供应商不具备磋商文件中规定资格要求的；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（4）不符合法律、法规和磋商文件中规定的其他实质性要求和条件的；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（5）其他法律、法规及本磋商文件规定的属未实质性响应的响应文件的情形。</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27" w:name="_Toc513029234"/>
      <w:bookmarkStart w:id="128" w:name="_Toc20823306"/>
      <w:bookmarkStart w:id="129" w:name="_Toc16938550"/>
      <w:r>
        <w:rPr>
          <w:rFonts w:hint="eastAsia" w:ascii="宋体" w:hAnsi="宋体" w:cs="宋体"/>
          <w:color w:val="000000" w:themeColor="text1"/>
          <w:sz w:val="24"/>
          <w14:textFill>
            <w14:solidFill>
              <w14:schemeClr w14:val="tx1"/>
            </w14:solidFill>
          </w14:textFill>
        </w:rPr>
        <w:t>6、</w:t>
      </w:r>
      <w:bookmarkEnd w:id="127"/>
      <w:bookmarkEnd w:id="128"/>
      <w:bookmarkEnd w:id="129"/>
      <w:r>
        <w:rPr>
          <w:rFonts w:hint="eastAsia" w:ascii="宋体" w:hAnsi="宋体" w:cs="宋体"/>
          <w:color w:val="000000" w:themeColor="text1"/>
          <w:sz w:val="24"/>
          <w14:textFill>
            <w14:solidFill>
              <w14:schemeClr w14:val="tx1"/>
            </w14:solidFill>
          </w14:textFill>
        </w:rPr>
        <w:t>磋商程序及评审方法和标准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30" w:name="_Toc513029235"/>
      <w:bookmarkStart w:id="131" w:name="_Toc16938551"/>
      <w:bookmarkStart w:id="132" w:name="_Toc20823307"/>
      <w:r>
        <w:rPr>
          <w:rFonts w:hint="eastAsia" w:ascii="宋体" w:hAnsi="宋体" w:cs="宋体"/>
          <w:color w:val="000000" w:themeColor="text1"/>
          <w:sz w:val="24"/>
          <w14:textFill>
            <w14:solidFill>
              <w14:schemeClr w14:val="tx1"/>
            </w14:solidFill>
          </w14:textFill>
        </w:rPr>
        <w:t>6.1磋商程序</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 对于通过资格性和符合性审查的供应商，磋商小组所有成员将集中与单一供应商分别进行磋商。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6.1.2 磋商文件能够详细列明采购标的的技术、服务要求的，磋商结束后，磋商小组将要求所有实质性响应的供应商在规定时间内提交最后报价。</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 磋商供应商未在磋商小组规定的时间内完成最后报价的视为放弃磋商，其磋商响应按无效响应处理。最后报价须由磋商供应商法定代表人或授权代表签字且加盖公章。已提交响应文件的供应商，在提交最后报价之前，可以根据磋商情况退出磋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 各供应商最后报价结束后,如磋商小组认为供应商的最后</w:t>
      </w:r>
      <w:r>
        <w:rPr>
          <w:rFonts w:hint="eastAsia" w:ascii="宋体" w:hAnsi="宋体" w:cs="宋体"/>
          <w:bCs/>
          <w:color w:val="000000" w:themeColor="text1"/>
          <w:sz w:val="24"/>
          <w14:textFill>
            <w14:solidFill>
              <w14:schemeClr w14:val="tx1"/>
            </w14:solidFill>
          </w14:textFill>
        </w:rPr>
        <w:t>报价明显低于其他通过符合性审查供应商的最后报价，有可能影响产品质量或者不能诚信履约的，应当要求其在项目评审过程中合理的时间内提供书面说明，必要时提交相关证明材料；供应商不能证明其报价合理性的，</w:t>
      </w:r>
      <w:r>
        <w:rPr>
          <w:rFonts w:hint="eastAsia" w:ascii="宋体" w:hAnsi="宋体" w:cs="宋体"/>
          <w:color w:val="000000" w:themeColor="text1"/>
          <w:sz w:val="24"/>
          <w14:textFill>
            <w14:solidFill>
              <w14:schemeClr w14:val="tx1"/>
            </w14:solidFill>
          </w14:textFill>
        </w:rPr>
        <w:t>磋商小组</w:t>
      </w:r>
      <w:r>
        <w:rPr>
          <w:rFonts w:hint="eastAsia" w:ascii="宋体" w:hAnsi="宋体" w:cs="宋体"/>
          <w:bCs/>
          <w:color w:val="000000" w:themeColor="text1"/>
          <w:sz w:val="24"/>
          <w14:textFill>
            <w14:solidFill>
              <w14:schemeClr w14:val="tx1"/>
            </w14:solidFill>
          </w14:textFill>
        </w:rPr>
        <w:t>应当将其作为无效投标处理。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 评审方法和标准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6.2.1评审方法。经磋商确定最终采购需求和提交最后报价的供应商后，由磋商小组采用综合评分法对提交最后报价的供应商的响应文件和最后报价进行综合评分。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6.2.2评审标准</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除本磋商文件第6.1.2条第三款规定的情形外，在采购过程中符合要求的供应商或者报价未超过采购预算的供应商不足3家的。见本磋商文件第五章规定。</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6.3采购活动终止的情况</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出现下列情形之一的，本次竞争性磋商采购活动将被终止：</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（1）因情况变化，不再符合规定的竞争性磋商采购方式适用情形的；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（2）出现影响采购公正的违法、违规行为的；</w:t>
      </w:r>
    </w:p>
    <w:bookmarkEnd w:id="130"/>
    <w:bookmarkEnd w:id="131"/>
    <w:bookmarkEnd w:id="132"/>
    <w:p>
      <w:pPr>
        <w:tabs>
          <w:tab w:val="left" w:pos="900"/>
        </w:tabs>
        <w:spacing w:line="500" w:lineRule="exact"/>
        <w:ind w:firstLine="479" w:firstLineChars="19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五、成交</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bookmarkStart w:id="133" w:name="_Toc513029238"/>
      <w:bookmarkStart w:id="134" w:name="_Toc20823310"/>
      <w:bookmarkStart w:id="135" w:name="_Toc16938554"/>
      <w:r>
        <w:rPr>
          <w:rFonts w:hint="eastAsia" w:ascii="宋体" w:hAnsi="宋体" w:cs="宋体"/>
          <w:color w:val="000000" w:themeColor="text1"/>
          <w:sz w:val="24"/>
          <w14:textFill>
            <w14:solidFill>
              <w14:schemeClr w14:val="tx1"/>
            </w14:solidFill>
          </w14:textFill>
        </w:rPr>
        <w:t>1、</w:t>
      </w:r>
      <w:bookmarkEnd w:id="133"/>
      <w:r>
        <w:rPr>
          <w:rFonts w:hint="eastAsia" w:ascii="宋体" w:hAnsi="宋体" w:cs="宋体"/>
          <w:color w:val="000000" w:themeColor="text1"/>
          <w:sz w:val="24"/>
          <w14:textFill>
            <w14:solidFill>
              <w14:schemeClr w14:val="tx1"/>
            </w14:solidFill>
          </w14:textFill>
        </w:rPr>
        <w:t>确定</w:t>
      </w:r>
      <w:bookmarkEnd w:id="134"/>
      <w:bookmarkEnd w:id="135"/>
      <w:r>
        <w:rPr>
          <w:rFonts w:hint="eastAsia" w:ascii="宋体" w:hAnsi="宋体" w:cs="宋体"/>
          <w:color w:val="000000" w:themeColor="text1"/>
          <w:sz w:val="24"/>
          <w14:textFill>
            <w14:solidFill>
              <w14:schemeClr w14:val="tx1"/>
            </w14:solidFill>
          </w14:textFill>
        </w:rPr>
        <w:t>成交单位</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磋商小组根据综合评分情况，按照评审得分由高到低顺序推荐不超过3名成交候选供应商，并编写评审报告。符合本文件第6.1.2条情形的，可以推荐2家成交候选供应商。评审得分相同的，按照最后报价优惠程度由高到低的顺序推荐。评审得分且最后报价相同的，按照技术指标优劣顺序推荐。</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1.2采购人根据磋商小组推荐的成交候选人确定成交供应商。采购人确定成交供应商后，采购人将在“同公告网”发布成交结果公告，公告期限为一个工作日。</w:t>
      </w:r>
    </w:p>
    <w:p>
      <w:pPr>
        <w:tabs>
          <w:tab w:val="left" w:pos="900"/>
        </w:tabs>
        <w:spacing w:line="50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1.3若有充分证据证明，成交供应商出现下列情况之一的，一经查实，将被取消成交资格：</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（1）提供虚假材料谋取成交的；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（2）与评审专家、采购人、其他供应商或者代理机构工作人员恶意串通的；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（3）向评审专家、采购人或代理机构工作人员行贿或者提供其他不正当利益的；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（4）恶意竞争，最终总报价明显低于其自身合理成本且又无法提供证明的；</w:t>
      </w:r>
    </w:p>
    <w:p>
      <w:pPr>
        <w:tabs>
          <w:tab w:val="left" w:pos="900"/>
        </w:tabs>
        <w:spacing w:line="50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（5）不满足本磋商文件规定的实质性要求，但在评审过程中又未被磋商小组发现的；</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（6）成交后无正当理由拒不与采购人签订政府采购合同或者未按照磋商文件确定的事项签订政府采购合同；</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（7）将政府采购合同转包；</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（8）法律、法规、规章规定的属于成交无效的其他情形。</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2、质疑处理</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磋商供应商认为磋商文件、采购过程和采购结果使自己的权益受到损害的，可以在知道或应知其权益受到损害之日起七个工作日内，以书面形式向采购人或代理机构提出质疑。上述应知其权益受到损害之日，是指：</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（1）对可以质疑的磋商文件提出质疑的，为收到磋商文件之日或者磋商文件公告期限届满之日；</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（2）对采购过程提出质疑的，为各采购程序环节结束之日；</w:t>
      </w:r>
    </w:p>
    <w:p>
      <w:pPr>
        <w:tabs>
          <w:tab w:val="left" w:pos="900"/>
        </w:tabs>
        <w:spacing w:line="4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（3）对成交结果提出质疑的，为成交结果公告期限届满之日。</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2.2质疑必须按《政府采购法》、《政府采购法实施条例》及《江苏省政府采购供应商监督管理暂行办法》的相关规定提交，未按上述要求提交的质疑函（含传真、电子邮件等）采购人、代理机构有权不予受理。</w:t>
      </w:r>
      <w:r>
        <w:rPr>
          <w:rFonts w:hint="eastAsia" w:ascii="宋体" w:hAnsi="宋体" w:cs="宋体"/>
          <w:b/>
          <w:bCs/>
          <w:color w:val="000000" w:themeColor="text1"/>
          <w:sz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2.3未参加磋商采购活动的供应商或在磋商采购活动中自身权益未受到损害的供应商所提出的质疑不予受理。</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2.4质疑函应当包括下列内容：</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(1)质疑供应商的名称、地址、邮编、联系人、联系电话；</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(2)具体的质疑事项及明确的请求；</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(3)认为自己合法权益受到损害或可能受到损害的相关证据材料；</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(4)提起质疑的日期；</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应当署名：质疑人为自然人的，应当由本人签字并附有效身份证明；质疑人为法人或其他组织的，应当由法定代表人签字并加盖单位公章。未按要求签字和盖章的为无效质疑，采购人将不予受理。质疑人委托代理质疑的，应当向采购人提交授权委托书，并载明委托代理的具体权限和事项。</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2.5采购人收到质疑函后，将对质疑的形式和内容进行审查，如质疑函内容、格式不符合规定，采购人将告知质疑人进行补正。</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2.6质疑人应当在法定质疑期限内进行补正并重新提交质疑函，拒不补正或者在法定期限内未重新提交质疑函的，为无效质疑，采购人、代理机构有权不予受理。</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2.7对于内容、格式符合规定的质疑函，采购人、代理机构将在收到参加谈判供应商的书面质疑后七个工作日内作出答复，并以书面形式通知质疑供应商和其他相关供应商，答复的内容不涉及商业秘密。</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2.8供应商提出书面质疑必须有理、有据，不得恶意质疑或提交虚假质疑。否则，一经查实，采购人、代理机构有权依据政府采购的有关规定，报请政府采购监管部门对该供应商进行相应的行政处罚。</w:t>
      </w:r>
    </w:p>
    <w:p>
      <w:pPr>
        <w:tabs>
          <w:tab w:val="left" w:pos="900"/>
        </w:tabs>
        <w:spacing w:line="480" w:lineRule="exact"/>
        <w:ind w:firstLine="479" w:firstLineChars="199"/>
        <w:rPr>
          <w:rFonts w:ascii="宋体" w:hAnsi="宋体" w:cs="宋体"/>
          <w:b/>
          <w:color w:val="000000" w:themeColor="text1"/>
          <w:sz w:val="24"/>
          <w14:textFill>
            <w14:solidFill>
              <w14:schemeClr w14:val="tx1"/>
            </w14:solidFill>
          </w14:textFill>
        </w:rPr>
      </w:pPr>
      <w:bookmarkStart w:id="136" w:name="_Toc16938553"/>
      <w:bookmarkStart w:id="137" w:name="_Toc20823309"/>
      <w:bookmarkStart w:id="138" w:name="_Toc513029237"/>
      <w:r>
        <w:rPr>
          <w:rFonts w:hint="eastAsia" w:ascii="宋体" w:hAnsi="宋体" w:cs="宋体"/>
          <w:b/>
          <w:color w:val="000000" w:themeColor="text1"/>
          <w:sz w:val="24"/>
          <w14:textFill>
            <w14:solidFill>
              <w14:schemeClr w14:val="tx1"/>
            </w14:solidFill>
          </w14:textFill>
        </w:rPr>
        <w:t>六、合同签订相关事项</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1、签订合同</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l成交供应商确定后，采购人将向成交供应商发出成交通知书。成交供应商应按成交通知书规定的时间、地点,按照磋商文件确定的事项与采购人签订政府采购合同，且不得迟于成交通知书发出之日起三十天内，由此给采购人造成损失的，成交供应商还应承担赔偿责任。</w:t>
      </w:r>
    </w:p>
    <w:p>
      <w:pPr>
        <w:tabs>
          <w:tab w:val="left" w:pos="900"/>
        </w:tabs>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磋商文件、成交供应商的响应文件及磋商采购过程中有关澄清、承诺文件均应作为合同附件。</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napToGrid w:val="0"/>
        <w:spacing w:line="48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1.4中标或者成交后无正当理由拒不与采购人签订政府采购合同的，将被列入不良行为记录名单，在一至三年内禁止参加政府采购活动。</w:t>
      </w:r>
    </w:p>
    <w:p>
      <w:pPr>
        <w:tabs>
          <w:tab w:val="left" w:pos="900"/>
        </w:tabs>
        <w:spacing w:line="480" w:lineRule="exact"/>
        <w:ind w:firstLine="477" w:firstLineChars="19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2、履约保证金</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在签订合同前，须向采购人交纳履约保证金,于合同履行后退还。履约保证金用以约束成交供应商在合同履行中的行为，弥补合同执行中由于自身行为可能给采购人带来的各种损失。</w:t>
      </w:r>
    </w:p>
    <w:p>
      <w:pPr>
        <w:spacing w:line="480" w:lineRule="exact"/>
        <w:ind w:firstLine="480" w:firstLineChars="200"/>
        <w:rPr>
          <w:rFonts w:ascii="宋体" w:hAnsi="宋体" w:cs="宋体"/>
          <w:color w:val="000000" w:themeColor="text1"/>
          <w:sz w:val="24"/>
          <w14:textFill>
            <w14:solidFill>
              <w14:schemeClr w14:val="tx1"/>
            </w14:solidFill>
          </w14:textFill>
        </w:rPr>
      </w:pPr>
    </w:p>
    <w:p>
      <w:pPr>
        <w:pStyle w:val="31"/>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1"/>
        <w:rPr>
          <w:color w:val="000000" w:themeColor="text1"/>
          <w14:textFill>
            <w14:solidFill>
              <w14:schemeClr w14:val="tx1"/>
            </w14:solidFill>
          </w14:textFill>
        </w:rPr>
      </w:pPr>
    </w:p>
    <w:p/>
    <w:p>
      <w:pPr>
        <w:rPr>
          <w:color w:val="000000" w:themeColor="text1"/>
          <w14:textFill>
            <w14:solidFill>
              <w14:schemeClr w14:val="tx1"/>
            </w14:solidFill>
          </w14:textFill>
        </w:rPr>
      </w:pPr>
    </w:p>
    <w:bookmarkEnd w:id="136"/>
    <w:bookmarkEnd w:id="137"/>
    <w:bookmarkEnd w:id="138"/>
    <w:p>
      <w:pPr>
        <w:pStyle w:val="58"/>
        <w:rPr>
          <w:color w:val="000000" w:themeColor="text1"/>
          <w14:textFill>
            <w14:solidFill>
              <w14:schemeClr w14:val="tx1"/>
            </w14:solidFill>
          </w14:textFill>
        </w:rPr>
      </w:pPr>
    </w:p>
    <w:p>
      <w:pPr>
        <w:keepNext/>
        <w:keepLines/>
        <w:spacing w:before="260" w:after="260" w:line="416" w:lineRule="auto"/>
        <w:jc w:val="center"/>
        <w:outlineLvl w:val="0"/>
        <w:rPr>
          <w:rFonts w:ascii="宋体" w:hAnsi="宋体" w:cs="宋体"/>
          <w:color w:val="000000" w:themeColor="text1"/>
          <w:sz w:val="44"/>
          <w:szCs w:val="44"/>
          <w14:textFill>
            <w14:solidFill>
              <w14:schemeClr w14:val="tx1"/>
            </w14:solidFill>
          </w14:textFill>
        </w:rPr>
      </w:pPr>
      <w:bookmarkStart w:id="139" w:name="_Toc20504"/>
      <w:r>
        <w:rPr>
          <w:rFonts w:hint="eastAsia" w:ascii="宋体" w:hAnsi="宋体" w:cs="Arial"/>
          <w:b/>
          <w:bCs/>
          <w:color w:val="000000" w:themeColor="text1"/>
          <w:sz w:val="44"/>
          <w:szCs w:val="44"/>
          <w14:textFill>
            <w14:solidFill>
              <w14:schemeClr w14:val="tx1"/>
            </w14:solidFill>
          </w14:textFill>
        </w:rPr>
        <w:t>第三章  合同条款及格式</w:t>
      </w:r>
      <w:bookmarkEnd w:id="139"/>
    </w:p>
    <w:p>
      <w:pPr>
        <w:snapToGrid w:val="0"/>
        <w:spacing w:line="440" w:lineRule="exact"/>
        <w:ind w:firstLine="602" w:firstLineChars="200"/>
        <w:jc w:val="center"/>
        <w:rPr>
          <w:rStyle w:val="163"/>
          <w:rFonts w:ascii="宋体" w:hAnsi="宋体" w:cs="宋体"/>
          <w:b/>
          <w:bCs/>
          <w:color w:val="000000" w:themeColor="text1"/>
          <w:sz w:val="30"/>
          <w:szCs w:val="20"/>
          <w14:textFill>
            <w14:solidFill>
              <w14:schemeClr w14:val="tx1"/>
            </w14:solidFill>
          </w14:textFill>
        </w:rPr>
      </w:pPr>
      <w:r>
        <w:rPr>
          <w:rStyle w:val="163"/>
          <w:rFonts w:ascii="宋体" w:hAnsi="宋体"/>
          <w:b/>
          <w:color w:val="000000" w:themeColor="text1"/>
          <w:sz w:val="30"/>
          <w14:textFill>
            <w14:solidFill>
              <w14:schemeClr w14:val="tx1"/>
            </w14:solidFill>
          </w14:textFill>
        </w:rPr>
        <w:t>采</w:t>
      </w:r>
      <w:r>
        <w:rPr>
          <w:rStyle w:val="163"/>
          <w:rFonts w:hint="eastAsia" w:ascii="宋体" w:hAnsi="宋体"/>
          <w:b/>
          <w:color w:val="000000" w:themeColor="text1"/>
          <w:sz w:val="30"/>
          <w14:textFill>
            <w14:solidFill>
              <w14:schemeClr w14:val="tx1"/>
            </w14:solidFill>
          </w14:textFill>
        </w:rPr>
        <w:t xml:space="preserve"> </w:t>
      </w:r>
      <w:r>
        <w:rPr>
          <w:rStyle w:val="163"/>
          <w:rFonts w:ascii="宋体" w:hAnsi="宋体"/>
          <w:b/>
          <w:color w:val="000000" w:themeColor="text1"/>
          <w:sz w:val="30"/>
          <w14:textFill>
            <w14:solidFill>
              <w14:schemeClr w14:val="tx1"/>
            </w14:solidFill>
          </w14:textFill>
        </w:rPr>
        <w:t>购</w:t>
      </w:r>
      <w:r>
        <w:rPr>
          <w:rStyle w:val="163"/>
          <w:rFonts w:hint="eastAsia" w:ascii="宋体" w:hAnsi="宋体"/>
          <w:b/>
          <w:color w:val="000000" w:themeColor="text1"/>
          <w:sz w:val="30"/>
          <w14:textFill>
            <w14:solidFill>
              <w14:schemeClr w14:val="tx1"/>
            </w14:solidFill>
          </w14:textFill>
        </w:rPr>
        <w:t xml:space="preserve"> </w:t>
      </w:r>
      <w:r>
        <w:rPr>
          <w:rStyle w:val="163"/>
          <w:rFonts w:ascii="宋体" w:hAnsi="宋体"/>
          <w:b/>
          <w:color w:val="000000" w:themeColor="text1"/>
          <w:sz w:val="30"/>
          <w14:textFill>
            <w14:solidFill>
              <w14:schemeClr w14:val="tx1"/>
            </w14:solidFill>
          </w14:textFill>
        </w:rPr>
        <w:t>合</w:t>
      </w:r>
      <w:r>
        <w:rPr>
          <w:rStyle w:val="163"/>
          <w:rFonts w:hint="eastAsia" w:ascii="宋体" w:hAnsi="宋体"/>
          <w:b/>
          <w:color w:val="000000" w:themeColor="text1"/>
          <w:sz w:val="30"/>
          <w14:textFill>
            <w14:solidFill>
              <w14:schemeClr w14:val="tx1"/>
            </w14:solidFill>
          </w14:textFill>
        </w:rPr>
        <w:t xml:space="preserve"> </w:t>
      </w:r>
      <w:r>
        <w:rPr>
          <w:rStyle w:val="163"/>
          <w:rFonts w:ascii="宋体" w:hAnsi="宋体"/>
          <w:b/>
          <w:color w:val="000000" w:themeColor="text1"/>
          <w:sz w:val="30"/>
          <w14:textFill>
            <w14:solidFill>
              <w14:schemeClr w14:val="tx1"/>
            </w14:solidFill>
          </w14:textFill>
        </w:rPr>
        <w:t>同</w:t>
      </w:r>
    </w:p>
    <w:p>
      <w:pPr>
        <w:pStyle w:val="165"/>
        <w:adjustRightInd w:val="0"/>
        <w:snapToGrid w:val="0"/>
        <w:spacing w:line="360" w:lineRule="auto"/>
        <w:ind w:firstLine="480" w:firstLineChars="200"/>
        <w:jc w:val="left"/>
        <w:textAlignment w:val="baseline"/>
        <w:rPr>
          <w:rStyle w:val="163"/>
          <w:rFonts w:hAnsi="宋体"/>
          <w:color w:val="000000" w:themeColor="text1"/>
          <w:sz w:val="24"/>
          <w:u w:val="single" w:color="000000"/>
          <w14:textFill>
            <w14:solidFill>
              <w14:schemeClr w14:val="tx1"/>
            </w14:solidFill>
          </w14:textFill>
        </w:rPr>
      </w:pPr>
      <w:r>
        <w:rPr>
          <w:rStyle w:val="163"/>
          <w:rFonts w:hAnsi="宋体"/>
          <w:color w:val="000000" w:themeColor="text1"/>
          <w:sz w:val="24"/>
          <w14:textFill>
            <w14:solidFill>
              <w14:schemeClr w14:val="tx1"/>
            </w14:solidFill>
          </w14:textFill>
        </w:rPr>
        <w:t>项目名称：</w:t>
      </w:r>
      <w:r>
        <w:rPr>
          <w:rStyle w:val="163"/>
          <w:rFonts w:hint="eastAsia" w:hAnsi="宋体"/>
          <w:color w:val="000000" w:themeColor="text1"/>
          <w:sz w:val="24"/>
          <w:u w:val="single" w:color="000000"/>
          <w14:textFill>
            <w14:solidFill>
              <w14:schemeClr w14:val="tx1"/>
            </w14:solidFill>
          </w14:textFill>
        </w:rPr>
        <w:t>盐城工业职业技术学院学生宿舍吹风机安装及运营项目</w:t>
      </w:r>
    </w:p>
    <w:p>
      <w:pPr>
        <w:pStyle w:val="165"/>
        <w:adjustRightInd w:val="0"/>
        <w:snapToGrid w:val="0"/>
        <w:spacing w:line="360" w:lineRule="auto"/>
        <w:ind w:firstLine="480" w:firstLineChars="200"/>
        <w:jc w:val="left"/>
        <w:textAlignment w:val="baseline"/>
        <w:rPr>
          <w:rStyle w:val="163"/>
          <w:rFonts w:hAnsi="宋体"/>
          <w:color w:val="000000" w:themeColor="text1"/>
          <w:sz w:val="24"/>
          <w14:textFill>
            <w14:solidFill>
              <w14:schemeClr w14:val="tx1"/>
            </w14:solidFill>
          </w14:textFill>
        </w:rPr>
      </w:pPr>
      <w:r>
        <w:rPr>
          <w:rStyle w:val="163"/>
          <w:rFonts w:hAnsi="宋体"/>
          <w:color w:val="000000" w:themeColor="text1"/>
          <w:sz w:val="24"/>
          <w14:textFill>
            <w14:solidFill>
              <w14:schemeClr w14:val="tx1"/>
            </w14:solidFill>
          </w14:textFill>
        </w:rPr>
        <w:t>项目编号：</w:t>
      </w:r>
    </w:p>
    <w:p>
      <w:pPr>
        <w:pStyle w:val="165"/>
        <w:adjustRightInd w:val="0"/>
        <w:snapToGrid w:val="0"/>
        <w:spacing w:line="360" w:lineRule="auto"/>
        <w:ind w:firstLine="480" w:firstLineChars="200"/>
        <w:textAlignment w:val="baseline"/>
        <w:rPr>
          <w:rStyle w:val="163"/>
          <w:rFonts w:hAnsi="宋体"/>
          <w:color w:val="000000" w:themeColor="text1"/>
          <w:sz w:val="24"/>
          <w14:textFill>
            <w14:solidFill>
              <w14:schemeClr w14:val="tx1"/>
            </w14:solidFill>
          </w14:textFill>
        </w:rPr>
      </w:pPr>
      <w:r>
        <w:rPr>
          <w:rStyle w:val="163"/>
          <w:rFonts w:hAnsi="宋体"/>
          <w:color w:val="000000" w:themeColor="text1"/>
          <w:sz w:val="24"/>
          <w14:textFill>
            <w14:solidFill>
              <w14:schemeClr w14:val="tx1"/>
            </w14:solidFill>
          </w14:textFill>
        </w:rPr>
        <w:t>甲方：（买方）</w:t>
      </w:r>
      <w:r>
        <w:rPr>
          <w:rStyle w:val="163"/>
          <w:rFonts w:hAnsi="宋体"/>
          <w:color w:val="000000" w:themeColor="text1"/>
          <w:sz w:val="24"/>
          <w:u w:val="single" w:color="000000"/>
          <w14:textFill>
            <w14:solidFill>
              <w14:schemeClr w14:val="tx1"/>
            </w14:solidFill>
          </w14:textFill>
        </w:rPr>
        <w:t>盐城工业职业技术学院</w:t>
      </w:r>
    </w:p>
    <w:p>
      <w:pPr>
        <w:pStyle w:val="165"/>
        <w:adjustRightInd w:val="0"/>
        <w:snapToGrid w:val="0"/>
        <w:spacing w:line="360" w:lineRule="auto"/>
        <w:ind w:firstLine="480" w:firstLineChars="200"/>
        <w:textAlignment w:val="baseline"/>
        <w:rPr>
          <w:rStyle w:val="163"/>
          <w:rFonts w:hAnsi="宋体"/>
          <w:color w:val="000000" w:themeColor="text1"/>
          <w:sz w:val="24"/>
          <w14:textFill>
            <w14:solidFill>
              <w14:schemeClr w14:val="tx1"/>
            </w14:solidFill>
          </w14:textFill>
        </w:rPr>
      </w:pPr>
      <w:r>
        <w:rPr>
          <w:rStyle w:val="163"/>
          <w:rFonts w:hAnsi="宋体"/>
          <w:color w:val="000000" w:themeColor="text1"/>
          <w:sz w:val="24"/>
          <w14:textFill>
            <w14:solidFill>
              <w14:schemeClr w14:val="tx1"/>
            </w14:solidFill>
          </w14:textFill>
        </w:rPr>
        <w:t>乙方：（卖方）</w:t>
      </w:r>
    </w:p>
    <w:p>
      <w:pPr>
        <w:adjustRightInd w:val="0"/>
        <w:snapToGrid w:val="0"/>
        <w:spacing w:line="360" w:lineRule="auto"/>
        <w:ind w:firstLine="480" w:firstLineChars="200"/>
        <w:textAlignment w:val="baseline"/>
        <w:rPr>
          <w:rStyle w:val="163"/>
          <w:rFonts w:ascii="宋体" w:hAnsi="宋体"/>
          <w:b/>
          <w:color w:val="000000" w:themeColor="text1"/>
          <w:sz w:val="24"/>
          <w14:textFill>
            <w14:solidFill>
              <w14:schemeClr w14:val="tx1"/>
            </w14:solidFill>
          </w14:textFill>
        </w:rPr>
      </w:pPr>
      <w:r>
        <w:rPr>
          <w:rStyle w:val="163"/>
          <w:rFonts w:ascii="宋体" w:hAnsi="宋体"/>
          <w:color w:val="000000" w:themeColor="text1"/>
          <w:sz w:val="24"/>
          <w14:textFill>
            <w14:solidFill>
              <w14:schemeClr w14:val="tx1"/>
            </w14:solidFill>
          </w14:textFill>
        </w:rPr>
        <w:t>甲、乙双方根据</w:t>
      </w:r>
      <w:r>
        <w:rPr>
          <w:rStyle w:val="163"/>
          <w:rFonts w:hint="eastAsia" w:hAnsi="宋体"/>
          <w:color w:val="000000" w:themeColor="text1"/>
          <w:sz w:val="24"/>
          <w:u w:val="single" w:color="000000"/>
          <w14:textFill>
            <w14:solidFill>
              <w14:schemeClr w14:val="tx1"/>
            </w14:solidFill>
          </w14:textFill>
        </w:rPr>
        <w:t>盐城工业职业技术学院学生宿舍吹风机安装及运营项目</w:t>
      </w:r>
      <w:r>
        <w:rPr>
          <w:rStyle w:val="163"/>
          <w:rFonts w:ascii="宋体" w:hAnsi="宋体"/>
          <w:color w:val="000000" w:themeColor="text1"/>
          <w:sz w:val="24"/>
          <w14:textFill>
            <w14:solidFill>
              <w14:schemeClr w14:val="tx1"/>
            </w14:solidFill>
          </w14:textFill>
        </w:rPr>
        <w:t>公开招标的结果，签署本合同。</w:t>
      </w:r>
    </w:p>
    <w:p>
      <w:pPr>
        <w:adjustRightInd w:val="0"/>
        <w:snapToGrid w:val="0"/>
        <w:spacing w:line="360" w:lineRule="auto"/>
        <w:ind w:firstLine="482"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b/>
          <w:bCs/>
          <w:color w:val="000000" w:themeColor="text1"/>
          <w:sz w:val="24"/>
          <w14:textFill>
            <w14:solidFill>
              <w14:schemeClr w14:val="tx1"/>
            </w14:solidFill>
          </w14:textFill>
        </w:rPr>
        <w:t>第一条 项目概述</w:t>
      </w:r>
      <w:r>
        <w:rPr>
          <w:rStyle w:val="163"/>
          <w:rFonts w:hint="eastAsia" w:ascii="宋体" w:hAnsi="宋体"/>
          <w:color w:val="000000" w:themeColor="text1"/>
          <w:sz w:val="24"/>
          <w14:textFill>
            <w14:solidFill>
              <w14:schemeClr w14:val="tx1"/>
            </w14:solidFill>
          </w14:textFill>
        </w:rPr>
        <w:t xml:space="preserve"> </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1.项目名称：盐城工业职业技术学院学生宿舍吹风机安装及运营项目。</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2.项目地点：盐城工业职业技术学院校区</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3.项目概况：建设位置及设备要求见项目需求。</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4.本项目采用乙方自筹资金、自行建设、自主经营的 BOT 模式。</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5.合同期内的所有经营投资、系统运营及维护等费用均由乙方承担。乙方向甲方支付项目运行经营所产生的水电费用。</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6.合同价款：      。</w:t>
      </w:r>
    </w:p>
    <w:p>
      <w:pPr>
        <w:adjustRightInd w:val="0"/>
        <w:snapToGrid w:val="0"/>
        <w:spacing w:line="360" w:lineRule="auto"/>
        <w:ind w:firstLine="482"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b/>
          <w:bCs/>
          <w:color w:val="000000" w:themeColor="text1"/>
          <w:sz w:val="24"/>
          <w14:textFill>
            <w14:solidFill>
              <w14:schemeClr w14:val="tx1"/>
            </w14:solidFill>
          </w14:textFill>
        </w:rPr>
        <w:t>第二条 合同期限与项目建设</w:t>
      </w:r>
      <w:r>
        <w:rPr>
          <w:rStyle w:val="163"/>
          <w:rFonts w:hint="eastAsia" w:ascii="宋体" w:hAnsi="宋体"/>
          <w:color w:val="000000" w:themeColor="text1"/>
          <w:sz w:val="24"/>
          <w14:textFill>
            <w14:solidFill>
              <w14:schemeClr w14:val="tx1"/>
            </w14:solidFill>
          </w14:textFill>
        </w:rPr>
        <w:t xml:space="preserve"> </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1.本项目合同期限为:本项目服务期为3年。</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2.合同履行期间，如因政府行为需要甲方校园置换，或甲方校园整体规划调整，致本合同项目无法继续履行达到约定的期限，则双方提前终止本合同。乙方须自行撤除设备并在通知下达之日起 5 日内搬离甲方。若逾期不搬离或清空，则乙方承担场地占用费 1000 元/天，甲方有权从乙方履约保证金中扣除。乙方离场后，甲方 30日内向乙方退还结余的履约保证金。</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3.合同期限届满或合同解除后，如乙方拒不退房撤场，甲方有权不再履行向乙方提供水电服务等义务，乙方必须承担由此给甲方造成的一切损失。</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4.乙方必须采取各种防范措施，保证设备的安全。</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5.乙方负责日常的营运管理和维护，并承担相应维护费用，确保所有设备无损坏且能正常使用。每台设备均需设置漏电保护功能。</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6.本项目工程不得转包，乙方所派出的常驻甲方的项目经理必须具有相关资质且管理经验丰富，必须每天在现场办公，未经甲方书面同意不得中途换人。</w:t>
      </w:r>
    </w:p>
    <w:p>
      <w:pPr>
        <w:adjustRightInd w:val="0"/>
        <w:snapToGrid w:val="0"/>
        <w:spacing w:line="360" w:lineRule="auto"/>
        <w:ind w:firstLine="480" w:firstLineChars="200"/>
        <w:textAlignment w:val="baseline"/>
        <w:rPr>
          <w:rStyle w:val="163"/>
          <w:rFonts w:hint="eastAsia" w:ascii="宋体" w:hAnsi="宋体"/>
          <w:color w:val="000000" w:themeColor="text1"/>
          <w:sz w:val="24"/>
          <w:lang w:val="zh-TW" w:eastAsia="zh-TW"/>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7.乙方施工方案</w:t>
      </w:r>
      <w:r>
        <w:rPr>
          <w:rStyle w:val="163"/>
          <w:rFonts w:hint="eastAsia" w:ascii="宋体" w:hAnsi="宋体"/>
          <w:color w:val="000000" w:themeColor="text1"/>
          <w:sz w:val="24"/>
          <w:lang w:eastAsia="zh-CN"/>
          <w14:textFill>
            <w14:solidFill>
              <w14:schemeClr w14:val="tx1"/>
            </w14:solidFill>
          </w14:textFill>
        </w:rPr>
        <w:t>、</w:t>
      </w:r>
      <w:r>
        <w:rPr>
          <w:rStyle w:val="163"/>
          <w:rFonts w:hint="eastAsia" w:ascii="宋体" w:hAnsi="宋体"/>
          <w:color w:val="000000" w:themeColor="text1"/>
          <w:sz w:val="24"/>
          <w:lang w:val="en-US" w:eastAsia="zh-CN"/>
          <w14:textFill>
            <w14:solidFill>
              <w14:schemeClr w14:val="tx1"/>
            </w14:solidFill>
          </w14:textFill>
        </w:rPr>
        <w:t>安装方案</w:t>
      </w:r>
      <w:r>
        <w:rPr>
          <w:rStyle w:val="163"/>
          <w:rFonts w:hint="eastAsia" w:ascii="宋体" w:hAnsi="宋体"/>
          <w:color w:val="000000" w:themeColor="text1"/>
          <w:sz w:val="24"/>
          <w14:textFill>
            <w14:solidFill>
              <w14:schemeClr w14:val="tx1"/>
            </w14:solidFill>
          </w14:textFill>
        </w:rPr>
        <w:t>须报甲方审查合格后方可实施，现场施工设备与产品原始样本、产品手册、产品说明书等技术资料、标书技术文件和实测数据一致，符合国家有关技术标准。安装工程必须符合国家相关技术规范，专业技术人员须持证上岗。乙方必须科学组</w:t>
      </w:r>
      <w:r>
        <w:rPr>
          <w:rStyle w:val="163"/>
          <w:rFonts w:hint="eastAsia" w:ascii="宋体" w:hAnsi="宋体"/>
          <w:color w:val="000000" w:themeColor="text1"/>
          <w:sz w:val="24"/>
          <w:lang w:val="zh-TW" w:eastAsia="zh-TW"/>
          <w14:textFill>
            <w14:solidFill>
              <w14:schemeClr w14:val="tx1"/>
            </w14:solidFill>
          </w14:textFill>
        </w:rPr>
        <w:t>织施工，做好现场安全防护、安全警示标识，服从甲方监督管理，保证施工安全顺利。施工过程中的所有安全责任由乙方自行承担。施工过程中乙方自行负责全部成品保全工作。施工结束后乙方负责垃圾清除外运，并在合法场所倾倒，不得造成二次污染。</w:t>
      </w:r>
    </w:p>
    <w:p>
      <w:pPr>
        <w:adjustRightInd w:val="0"/>
        <w:snapToGrid w:val="0"/>
        <w:spacing w:line="360" w:lineRule="auto"/>
        <w:ind w:firstLine="480" w:firstLineChars="200"/>
        <w:textAlignment w:val="baseline"/>
        <w:rPr>
          <w:rStyle w:val="163"/>
          <w:rFonts w:hint="eastAsia" w:ascii="宋体" w:hAnsi="宋体"/>
          <w:color w:val="000000" w:themeColor="text1"/>
          <w:sz w:val="24"/>
          <w:lang w:val="zh-TW" w:eastAsia="zh-TW"/>
          <w14:textFill>
            <w14:solidFill>
              <w14:schemeClr w14:val="tx1"/>
            </w14:solidFill>
          </w14:textFill>
        </w:rPr>
      </w:pPr>
      <w:r>
        <w:rPr>
          <w:rStyle w:val="163"/>
          <w:rFonts w:hint="eastAsia" w:ascii="宋体" w:hAnsi="宋体"/>
          <w:color w:val="000000" w:themeColor="text1"/>
          <w:sz w:val="24"/>
          <w:lang w:val="en-US" w:eastAsia="zh-CN"/>
          <w14:textFill>
            <w14:solidFill>
              <w14:schemeClr w14:val="tx1"/>
            </w14:solidFill>
          </w14:textFill>
        </w:rPr>
        <w:t>8.</w:t>
      </w:r>
      <w:r>
        <w:rPr>
          <w:rStyle w:val="163"/>
          <w:rFonts w:hint="eastAsia" w:ascii="宋体" w:hAnsi="宋体"/>
          <w:color w:val="000000" w:themeColor="text1"/>
          <w:sz w:val="24"/>
          <w:lang w:val="zh-TW" w:eastAsia="zh-TW"/>
          <w14:textFill>
            <w14:solidFill>
              <w14:schemeClr w14:val="tx1"/>
            </w14:solidFill>
          </w14:textFill>
        </w:rPr>
        <w:t>乙方需在每栋楼</w:t>
      </w:r>
      <w:r>
        <w:rPr>
          <w:rStyle w:val="163"/>
          <w:rFonts w:hint="eastAsia" w:ascii="宋体" w:hAnsi="宋体"/>
          <w:color w:val="000000" w:themeColor="text1"/>
          <w:sz w:val="24"/>
          <w:lang w:val="en-US" w:eastAsia="zh-CN"/>
          <w14:textFill>
            <w14:solidFill>
              <w14:schemeClr w14:val="tx1"/>
            </w14:solidFill>
          </w14:textFill>
        </w:rPr>
        <w:t>每</w:t>
      </w:r>
      <w:r>
        <w:rPr>
          <w:rStyle w:val="163"/>
          <w:rFonts w:hint="eastAsia" w:ascii="宋体" w:hAnsi="宋体"/>
          <w:color w:val="000000" w:themeColor="text1"/>
          <w:sz w:val="24"/>
          <w:lang w:val="zh-TW" w:eastAsia="zh-TW"/>
          <w14:textFill>
            <w14:solidFill>
              <w14:schemeClr w14:val="tx1"/>
            </w14:solidFill>
          </w14:textFill>
        </w:rPr>
        <w:t>一层指定位置取电，并安装一块智能电表，管理每栋楼电吹风的用电情况，安装电表的费用及产生的电费由乙方缴纳。</w:t>
      </w:r>
    </w:p>
    <w:p>
      <w:pPr>
        <w:adjustRightInd w:val="0"/>
        <w:snapToGrid w:val="0"/>
        <w:spacing w:line="360" w:lineRule="auto"/>
        <w:ind w:firstLine="480" w:firstLineChars="200"/>
        <w:textAlignment w:val="baseline"/>
        <w:rPr>
          <w:rStyle w:val="163"/>
          <w:rFonts w:hint="eastAsia" w:ascii="宋体" w:hAnsi="宋体"/>
          <w:color w:val="000000" w:themeColor="text1"/>
          <w:sz w:val="24"/>
          <w14:textFill>
            <w14:solidFill>
              <w14:schemeClr w14:val="tx1"/>
            </w14:solidFill>
          </w14:textFill>
        </w:rPr>
      </w:pPr>
      <w:r>
        <w:rPr>
          <w:rStyle w:val="163"/>
          <w:rFonts w:hint="eastAsia" w:ascii="宋体" w:hAnsi="宋体"/>
          <w:color w:val="000000" w:themeColor="text1"/>
          <w:sz w:val="24"/>
          <w:lang w:val="en-US" w:eastAsia="zh-CN"/>
          <w14:textFill>
            <w14:solidFill>
              <w14:schemeClr w14:val="tx1"/>
            </w14:solidFill>
          </w14:textFill>
        </w:rPr>
        <w:t>9</w:t>
      </w:r>
      <w:r>
        <w:rPr>
          <w:rStyle w:val="163"/>
          <w:rFonts w:hint="eastAsia" w:ascii="宋体" w:hAnsi="宋体"/>
          <w:color w:val="000000" w:themeColor="text1"/>
          <w:sz w:val="24"/>
          <w:lang w:val="zh-TW" w:eastAsia="zh-TW"/>
          <w14:textFill>
            <w14:solidFill>
              <w14:schemeClr w14:val="tx1"/>
            </w14:solidFill>
          </w14:textFill>
        </w:rPr>
        <w:t>.本项目的其它建设要求以招标文件及投标文件设计方案为准，投标文件所述要求及标准优于招标文件要求的，以投标文</w:t>
      </w:r>
      <w:r>
        <w:rPr>
          <w:rStyle w:val="163"/>
          <w:rFonts w:hint="eastAsia" w:ascii="宋体" w:hAnsi="宋体"/>
          <w:color w:val="000000" w:themeColor="text1"/>
          <w:sz w:val="24"/>
          <w14:textFill>
            <w14:solidFill>
              <w14:schemeClr w14:val="tx1"/>
            </w14:solidFill>
          </w14:textFill>
        </w:rPr>
        <w:t>件为准。</w:t>
      </w:r>
    </w:p>
    <w:p>
      <w:pPr>
        <w:adjustRightInd w:val="0"/>
        <w:snapToGrid w:val="0"/>
        <w:spacing w:line="360" w:lineRule="auto"/>
        <w:ind w:firstLine="480" w:firstLineChars="200"/>
        <w:textAlignment w:val="baseline"/>
        <w:rPr>
          <w:rFonts w:hint="default" w:eastAsia="仿宋_GB2312"/>
          <w:lang w:val="en-US" w:eastAsia="zh-CN"/>
        </w:rPr>
      </w:pPr>
      <w:r>
        <w:rPr>
          <w:rStyle w:val="163"/>
          <w:rFonts w:hint="eastAsia" w:ascii="宋体" w:hAnsi="宋体"/>
          <w:color w:val="000000" w:themeColor="text1"/>
          <w:sz w:val="24"/>
          <w:lang w:val="en-US" w:eastAsia="zh-CN"/>
          <w14:textFill>
            <w14:solidFill>
              <w14:schemeClr w14:val="tx1"/>
            </w14:solidFill>
          </w14:textFill>
        </w:rPr>
        <w:t>10.</w:t>
      </w:r>
      <w:r>
        <w:rPr>
          <w:rStyle w:val="163"/>
          <w:rFonts w:hint="eastAsia" w:ascii="宋体" w:hAnsi="宋体"/>
          <w:color w:val="000000" w:themeColor="text1"/>
          <w:sz w:val="24"/>
          <w:lang w:val="zh-TW" w:eastAsia="zh-TW"/>
          <w14:textFill>
            <w14:solidFill>
              <w14:schemeClr w14:val="tx1"/>
            </w14:solidFill>
          </w14:textFill>
        </w:rPr>
        <w:t>合同到期后，如不再继续新的合同，限期在合同结束后7日内撤除所有设备，如果过期不拆除，则学校将作为中标商遗留的废弃物处理。</w:t>
      </w:r>
    </w:p>
    <w:p>
      <w:pPr>
        <w:adjustRightInd w:val="0"/>
        <w:snapToGrid w:val="0"/>
        <w:spacing w:line="360" w:lineRule="auto"/>
        <w:ind w:firstLine="482" w:firstLineChars="200"/>
        <w:textAlignment w:val="baseline"/>
        <w:rPr>
          <w:rStyle w:val="163"/>
          <w:rFonts w:ascii="宋体" w:hAnsi="宋体"/>
          <w:b/>
          <w:bCs/>
          <w:color w:val="000000" w:themeColor="text1"/>
          <w:sz w:val="24"/>
          <w14:textFill>
            <w14:solidFill>
              <w14:schemeClr w14:val="tx1"/>
            </w14:solidFill>
          </w14:textFill>
        </w:rPr>
      </w:pPr>
      <w:r>
        <w:rPr>
          <w:rStyle w:val="163"/>
          <w:rFonts w:hint="eastAsia" w:ascii="宋体" w:hAnsi="宋体"/>
          <w:b/>
          <w:bCs/>
          <w:color w:val="000000" w:themeColor="text1"/>
          <w:sz w:val="24"/>
          <w14:textFill>
            <w14:solidFill>
              <w14:schemeClr w14:val="tx1"/>
            </w14:solidFill>
          </w14:textFill>
        </w:rPr>
        <w:t xml:space="preserve">第三条 项目投入的设备 </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1.本项目所有投入设备必须为全新设备。</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2.乙方应根据招标文件所明确的方案进行实施，并根据施工方案和安装方案进行装修和安装设备。项目建成后，双方签署的项目设备验收清单为本合同的附件，验收清单上的设备与设施在合同期满后必须完好无损地移交给甲方。</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3.投入使用后，设备设施产权即交付甲方代管。在本项目合同期内的设备维护、维修及更新均由乙方负责，费用由乙方承担。</w:t>
      </w:r>
    </w:p>
    <w:p>
      <w:pPr>
        <w:adjustRightInd w:val="0"/>
        <w:snapToGrid w:val="0"/>
        <w:spacing w:line="360" w:lineRule="auto"/>
        <w:ind w:firstLine="482"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b/>
          <w:bCs/>
          <w:color w:val="000000" w:themeColor="text1"/>
          <w:sz w:val="24"/>
          <w14:textFill>
            <w14:solidFill>
              <w14:schemeClr w14:val="tx1"/>
            </w14:solidFill>
          </w14:textFill>
        </w:rPr>
        <w:t>第四条 项目运营</w:t>
      </w:r>
      <w:r>
        <w:rPr>
          <w:rStyle w:val="163"/>
          <w:rFonts w:hint="eastAsia" w:ascii="宋体" w:hAnsi="宋体"/>
          <w:color w:val="000000" w:themeColor="text1"/>
          <w:sz w:val="24"/>
          <w14:textFill>
            <w14:solidFill>
              <w14:schemeClr w14:val="tx1"/>
            </w14:solidFill>
          </w14:textFill>
        </w:rPr>
        <w:t xml:space="preserve"> </w:t>
      </w:r>
    </w:p>
    <w:p>
      <w:pPr>
        <w:pStyle w:val="9"/>
        <w:keepNext w:val="0"/>
        <w:keepLines w:val="0"/>
        <w:widowControl/>
        <w:adjustRightInd w:val="0"/>
        <w:snapToGrid w:val="0"/>
        <w:spacing w:before="0" w:after="0" w:line="360" w:lineRule="auto"/>
        <w:ind w:firstLine="482" w:firstLineChars="200"/>
        <w:textAlignment w:val="baseline"/>
        <w:rPr>
          <w:rStyle w:val="163"/>
          <w:rFonts w:ascii="宋体" w:hAnsi="宋体"/>
          <w:color w:val="000000" w:themeColor="text1"/>
          <w:sz w:val="24"/>
          <w:szCs w:val="24"/>
          <w14:textFill>
            <w14:solidFill>
              <w14:schemeClr w14:val="tx1"/>
            </w14:solidFill>
          </w14:textFill>
        </w:rPr>
      </w:pPr>
      <w:r>
        <w:rPr>
          <w:rStyle w:val="163"/>
          <w:rFonts w:hint="eastAsia" w:ascii="宋体" w:hAnsi="宋体"/>
          <w:color w:val="000000" w:themeColor="text1"/>
          <w:sz w:val="24"/>
          <w:szCs w:val="24"/>
          <w14:textFill>
            <w14:solidFill>
              <w14:schemeClr w14:val="tx1"/>
            </w14:solidFill>
          </w14:textFill>
        </w:rPr>
        <w:t>1.</w:t>
      </w:r>
      <w:r>
        <w:rPr>
          <w:rFonts w:hint="eastAsia" w:ascii="宋体" w:hAnsi="宋体" w:cs="宋体"/>
          <w:b w:val="0"/>
          <w:color w:val="000000" w:themeColor="text1"/>
          <w:sz w:val="24"/>
          <w:szCs w:val="24"/>
          <w14:textFill>
            <w14:solidFill>
              <w14:schemeClr w14:val="tx1"/>
            </w14:solidFill>
          </w14:textFill>
        </w:rPr>
        <w:t>本项目的收费系统采用物联网支付方式，学生可通过一卡通校园、微信或支付宝支付，按中标价计费，收费系统的账号和管理密码需提供给学校，学校对账户进行实时监管。</w:t>
      </w:r>
      <w:r>
        <w:rPr>
          <w:rFonts w:hint="eastAsia" w:ascii="宋体" w:hAnsi="宋体" w:cs="宋体"/>
          <w:b w:val="0"/>
          <w:color w:val="000000" w:themeColor="text1"/>
          <w:sz w:val="24"/>
          <w:szCs w:val="24"/>
          <w:lang w:val="en-US" w:eastAsia="zh-CN"/>
          <w14:textFill>
            <w14:solidFill>
              <w14:schemeClr w14:val="tx1"/>
            </w14:solidFill>
          </w14:textFill>
        </w:rPr>
        <w:t>电</w:t>
      </w:r>
      <w:r>
        <w:rPr>
          <w:rFonts w:hint="eastAsia" w:ascii="宋体" w:hAnsi="宋体" w:cs="宋体"/>
          <w:b w:val="0"/>
          <w:color w:val="000000" w:themeColor="text1"/>
          <w:sz w:val="24"/>
          <w:szCs w:val="24"/>
          <w14:textFill>
            <w14:solidFill>
              <w14:schemeClr w14:val="tx1"/>
            </w14:solidFill>
          </w14:textFill>
        </w:rPr>
        <w:t>控设备及收费管理系统的建设所产生的所有费用由中标人自行承担。</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2.合同期内，学生在校期间乙方应按照招标文件、投标文件及本合同约定，确保设备正常开放。乙方需安排专业技术员常驻甲方进行定期检查、保养、维修等工作。</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3.合同期内，与合同履行相关的税、费等所有费用，均由乙方负责承担。</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4.合同期内，乙方应配备足够数量具有管理、维修、维护经验和技术的管理人员和技术人员，并确保所配人员遵守甲方相关规章制度，服从甲方管理和监督。合同期间所有关于设备服务方面的师生投诉，乙方须第一时间妥善解决。未妥善解决造成不良影响的，乙方构成违约，应当向甲方支付违约金，甲方有权从履约保证金中按 1000元/次的标准扣收。</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5.甲方对校内类似项目市场保护问题不作任何承诺，不承担任何责任。</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6.乙方自行聘用员工，与甲方不构成任何用工关系。乙方必须严格按照《劳动法》《劳动合同法》等相关法规办理用工手续。乙方在甲方服务的所有员工必须持有健康证、公安部门出具的无犯罪记录证明，各类证件报甲方审核后留存复印件备案。</w:t>
      </w:r>
    </w:p>
    <w:p>
      <w:pPr>
        <w:adjustRightInd w:val="0"/>
        <w:snapToGrid w:val="0"/>
        <w:spacing w:line="360" w:lineRule="auto"/>
        <w:ind w:firstLine="480" w:firstLineChars="200"/>
        <w:textAlignment w:val="baseline"/>
        <w:rPr>
          <w:rStyle w:val="163"/>
          <w:rFonts w:hint="eastAsia"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7.在甲方供电正常的情况下，乙方投入设备出现故障，连续超过 3 天无法按照合同约定提供服务的，甲方有权按上月日均营业额的 1%从乙方履约保证金中扣收违约金。</w:t>
      </w:r>
    </w:p>
    <w:p>
      <w:pPr>
        <w:adjustRightInd w:val="0"/>
        <w:snapToGrid w:val="0"/>
        <w:spacing w:line="360" w:lineRule="auto"/>
        <w:ind w:firstLine="480" w:firstLineChars="200"/>
        <w:textAlignment w:val="baseline"/>
        <w:rPr>
          <w:rStyle w:val="163"/>
          <w:rFonts w:hint="eastAsia" w:ascii="宋体" w:hAnsi="宋体"/>
          <w:color w:val="000000" w:themeColor="text1"/>
          <w:sz w:val="24"/>
          <w14:textFill>
            <w14:solidFill>
              <w14:schemeClr w14:val="tx1"/>
            </w14:solidFill>
          </w14:textFill>
        </w:rPr>
      </w:pPr>
      <w:r>
        <w:rPr>
          <w:rStyle w:val="163"/>
          <w:rFonts w:hint="eastAsia" w:ascii="宋体" w:hAnsi="宋体"/>
          <w:color w:val="000000" w:themeColor="text1"/>
          <w:sz w:val="24"/>
          <w:lang w:val="en-US" w:eastAsia="zh-CN"/>
          <w14:textFill>
            <w14:solidFill>
              <w14:schemeClr w14:val="tx1"/>
            </w14:solidFill>
          </w14:textFill>
        </w:rPr>
        <w:t>8.按学期</w:t>
      </w:r>
      <w:r>
        <w:rPr>
          <w:rStyle w:val="163"/>
          <w:rFonts w:hint="eastAsia" w:ascii="宋体" w:hAnsi="宋体"/>
          <w:color w:val="000000" w:themeColor="text1"/>
          <w:sz w:val="24"/>
          <w:lang w:val="zh-TW" w:eastAsia="zh-TW"/>
          <w14:textFill>
            <w14:solidFill>
              <w14:schemeClr w14:val="tx1"/>
            </w14:solidFill>
          </w14:textFill>
        </w:rPr>
        <w:t>收取电费，据实结算。电费由中标单位全额承担(收费标准为0.</w:t>
      </w:r>
      <w:r>
        <w:rPr>
          <w:rStyle w:val="163"/>
          <w:rFonts w:hint="eastAsia" w:ascii="宋体" w:hAnsi="宋体"/>
          <w:color w:val="000000" w:themeColor="text1"/>
          <w:sz w:val="24"/>
          <w:lang w:val="en-US" w:eastAsia="zh-CN"/>
          <w14:textFill>
            <w14:solidFill>
              <w14:schemeClr w14:val="tx1"/>
            </w14:solidFill>
          </w14:textFill>
        </w:rPr>
        <w:t>5383</w:t>
      </w:r>
      <w:r>
        <w:rPr>
          <w:rStyle w:val="163"/>
          <w:rFonts w:hint="eastAsia" w:ascii="宋体" w:hAnsi="宋体"/>
          <w:color w:val="000000" w:themeColor="text1"/>
          <w:sz w:val="24"/>
          <w:lang w:val="zh-TW" w:eastAsia="zh-TW"/>
          <w14:textFill>
            <w14:solidFill>
              <w14:schemeClr w14:val="tx1"/>
            </w14:solidFill>
          </w14:textFill>
        </w:rPr>
        <w:t>元/度)。</w:t>
      </w:r>
    </w:p>
    <w:p>
      <w:pPr>
        <w:adjustRightInd w:val="0"/>
        <w:snapToGrid w:val="0"/>
        <w:spacing w:line="360" w:lineRule="auto"/>
        <w:ind w:firstLine="482" w:firstLineChars="200"/>
        <w:textAlignment w:val="baseline"/>
        <w:rPr>
          <w:rStyle w:val="163"/>
          <w:rFonts w:ascii="宋体" w:hAnsi="宋体"/>
          <w:b/>
          <w:bCs/>
          <w:color w:val="000000" w:themeColor="text1"/>
          <w:sz w:val="24"/>
          <w14:textFill>
            <w14:solidFill>
              <w14:schemeClr w14:val="tx1"/>
            </w14:solidFill>
          </w14:textFill>
        </w:rPr>
      </w:pPr>
      <w:r>
        <w:rPr>
          <w:rStyle w:val="163"/>
          <w:rFonts w:hint="eastAsia" w:ascii="宋体" w:hAnsi="宋体"/>
          <w:b/>
          <w:bCs/>
          <w:color w:val="000000" w:themeColor="text1"/>
          <w:sz w:val="24"/>
          <w14:textFill>
            <w14:solidFill>
              <w14:schemeClr w14:val="tx1"/>
            </w14:solidFill>
          </w14:textFill>
        </w:rPr>
        <w:t xml:space="preserve">第五条 设备保养、维护 </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1.乙方需公布服务热线电话，负责受理咨询、报修、投诉等事项，在接到故障报告后 2 小时内到达现场，到场后 3 小时内解决故障问题，重大故障应当在 24 小时内修复并恢复正常，修复无效的在 1 周内更换机器。乙方有义务为相关使用人做好沟通、协调工作。</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2.乙方应当定期对相关设施设备检查（检查记录要留存并装订成册），确保设施完好，避免造成无法使用或其他安全事故。</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3.合同期内，如确需对设施设备进行大规模改造，应经甲方书面批准方可施工，费用由乙方承担。</w:t>
      </w:r>
    </w:p>
    <w:p>
      <w:pPr>
        <w:adjustRightInd w:val="0"/>
        <w:snapToGrid w:val="0"/>
        <w:spacing w:line="360" w:lineRule="auto"/>
        <w:ind w:firstLine="482"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b/>
          <w:bCs/>
          <w:color w:val="000000" w:themeColor="text1"/>
          <w:sz w:val="24"/>
          <w14:textFill>
            <w14:solidFill>
              <w14:schemeClr w14:val="tx1"/>
            </w14:solidFill>
          </w14:textFill>
        </w:rPr>
        <w:t>第六条 服务管理及考核</w:t>
      </w:r>
      <w:r>
        <w:rPr>
          <w:rStyle w:val="163"/>
          <w:rFonts w:hint="eastAsia" w:ascii="宋体" w:hAnsi="宋体"/>
          <w:color w:val="000000" w:themeColor="text1"/>
          <w:sz w:val="24"/>
          <w14:textFill>
            <w14:solidFill>
              <w14:schemeClr w14:val="tx1"/>
            </w14:solidFill>
          </w14:textFill>
        </w:rPr>
        <w:t xml:space="preserve"> </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1.乙方须在设备醒目位置张贴操作流程图，每年新生入学时应当有专业的工作人员进行指导。</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2.乙方必须负责项目场地的保洁工作，指派专人定时打扫，保证场地及其周边清洁卫生，接受甲方日常考核。项目的安全保卫等工作由乙方自行承担。</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3.乙方须按招标文件制定服务项目价格表，且不得随意更改。消费价格、使用规程及维修电话必须上墙公示。</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4.乙方必须提供切实可行的服务承诺和管理制度，保证项目正常运行。</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5.合同期内，乙方必须接受甲方对服务质量、卫生状况、收费价格等方面的监督、管理和考核。</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 xml:space="preserve">6.乙方没有使用甲方许可的收款方式收取营业款的，每违反 1 次，甲方有权从乙方履约保证金中扣收违约金 </w:t>
      </w:r>
      <w:r>
        <w:rPr>
          <w:rStyle w:val="163"/>
          <w:rFonts w:hint="eastAsia" w:ascii="宋体" w:hAnsi="宋体"/>
          <w:color w:val="000000" w:themeColor="text1"/>
          <w:sz w:val="24"/>
          <w:lang w:val="en-US" w:eastAsia="zh-CN"/>
          <w14:textFill>
            <w14:solidFill>
              <w14:schemeClr w14:val="tx1"/>
            </w14:solidFill>
          </w14:textFill>
        </w:rPr>
        <w:t>1</w:t>
      </w:r>
      <w:r>
        <w:rPr>
          <w:rStyle w:val="163"/>
          <w:rFonts w:hint="eastAsia" w:ascii="宋体" w:hAnsi="宋体"/>
          <w:color w:val="000000" w:themeColor="text1"/>
          <w:sz w:val="24"/>
          <w14:textFill>
            <w14:solidFill>
              <w14:schemeClr w14:val="tx1"/>
            </w14:solidFill>
          </w14:textFill>
        </w:rPr>
        <w:t>000 元，并有权责令乙方立刻改正。</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7.乙方不得擅自扩大经营范围，增加跟此无关的经营项目（在确保安全前提下，为学生提供的免费增值服务项目除外）。不得张贴任何形式的广告，否则，甲方有权从乙方履约保证金中按 5000 元/项的标准扣收违约金，并有权责令乙方改正。</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8.乙方必须加强安全管理，如发生包括并不限于治安、消防、食品安全、人身伤害、员工交通和工伤等事故，乙方承担全部责任。因此导致甲方受到行政处罚或损失的，均由乙方赔偿。甲方有权根据事故(件)的具体情况扣收部分或全部履约保证金，直至解除合同。</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9.乙方必须始终保持师生满意度在 85%以上。甲方定期或不定期对乙方就项目运营、设备完好率、环境卫生、收费价格执行、学生投诉、应急响应、是否违规经营等方面进行师生满意度随机调查（调查样本不少于 100 人）。师生满意度在 85%以下的，甲方有权从乙方履约保证金中扣收 2000 元违约金。</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10.乙方必须遵守甲方用水用电相关规定，不得窃水窃电，若有窃水窃电行为的，每发现 1 次，甲方有权从乙方履约保证金中扣收 1000 元违约金，并有权责令乙方改正。窃水窃电行为严重，甲方有权移交公安部门处理。</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 xml:space="preserve">11.乙方擅自提高服务项目价格，每提高 1 次，甲方有权从乙方履约保证金中扣收违约金 </w:t>
      </w:r>
      <w:r>
        <w:rPr>
          <w:rStyle w:val="163"/>
          <w:rFonts w:hint="eastAsia" w:ascii="宋体" w:hAnsi="宋体"/>
          <w:color w:val="000000" w:themeColor="text1"/>
          <w:sz w:val="24"/>
          <w:lang w:val="en-US" w:eastAsia="zh-CN"/>
          <w14:textFill>
            <w14:solidFill>
              <w14:schemeClr w14:val="tx1"/>
            </w14:solidFill>
          </w14:textFill>
        </w:rPr>
        <w:t>1</w:t>
      </w:r>
      <w:r>
        <w:rPr>
          <w:rStyle w:val="163"/>
          <w:rFonts w:hint="eastAsia" w:ascii="宋体" w:hAnsi="宋体"/>
          <w:color w:val="000000" w:themeColor="text1"/>
          <w:sz w:val="24"/>
          <w14:textFill>
            <w14:solidFill>
              <w14:schemeClr w14:val="tx1"/>
            </w14:solidFill>
          </w14:textFill>
        </w:rPr>
        <w:t>000 元，并有权责令乙方改正。</w:t>
      </w:r>
    </w:p>
    <w:p>
      <w:pPr>
        <w:adjustRightInd w:val="0"/>
        <w:snapToGrid w:val="0"/>
        <w:spacing w:line="360" w:lineRule="auto"/>
        <w:ind w:firstLine="482" w:firstLineChars="200"/>
        <w:textAlignment w:val="baseline"/>
        <w:rPr>
          <w:rStyle w:val="163"/>
          <w:rFonts w:ascii="宋体" w:hAnsi="宋体"/>
          <w:b/>
          <w:bCs/>
          <w:color w:val="000000" w:themeColor="text1"/>
          <w:sz w:val="24"/>
          <w14:textFill>
            <w14:solidFill>
              <w14:schemeClr w14:val="tx1"/>
            </w14:solidFill>
          </w14:textFill>
        </w:rPr>
      </w:pPr>
      <w:r>
        <w:rPr>
          <w:rStyle w:val="163"/>
          <w:rFonts w:hint="eastAsia" w:ascii="宋体" w:hAnsi="宋体"/>
          <w:b/>
          <w:bCs/>
          <w:color w:val="000000" w:themeColor="text1"/>
          <w:sz w:val="24"/>
          <w14:textFill>
            <w14:solidFill>
              <w14:schemeClr w14:val="tx1"/>
            </w14:solidFill>
          </w14:textFill>
        </w:rPr>
        <w:t xml:space="preserve">第七条 履约保证金 </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 xml:space="preserve">在本合同签订前，乙方应向甲方缴纳 </w:t>
      </w:r>
      <w:r>
        <w:rPr>
          <w:rStyle w:val="163"/>
          <w:rFonts w:hint="eastAsia" w:ascii="宋体" w:hAnsi="宋体"/>
          <w:color w:val="000000" w:themeColor="text1"/>
          <w:sz w:val="24"/>
          <w:lang w:val="en-US" w:eastAsia="zh-CN"/>
          <w14:textFill>
            <w14:solidFill>
              <w14:schemeClr w14:val="tx1"/>
            </w14:solidFill>
          </w14:textFill>
        </w:rPr>
        <w:t>3</w:t>
      </w:r>
      <w:r>
        <w:rPr>
          <w:rStyle w:val="163"/>
          <w:rFonts w:hint="eastAsia" w:ascii="宋体" w:hAnsi="宋体"/>
          <w:color w:val="000000" w:themeColor="text1"/>
          <w:sz w:val="24"/>
          <w14:textFill>
            <w14:solidFill>
              <w14:schemeClr w14:val="tx1"/>
            </w14:solidFill>
          </w14:textFill>
        </w:rPr>
        <w:t>万元履约保证金。合同期满并办理完相关手续后 30 日内一次性无息退还（乙方因违约等原因被核减的除外）。若履约保证金因乙方违约等原因被扣除不足</w:t>
      </w:r>
      <w:r>
        <w:rPr>
          <w:rStyle w:val="163"/>
          <w:rFonts w:hint="eastAsia" w:ascii="宋体" w:hAnsi="宋体"/>
          <w:color w:val="000000" w:themeColor="text1"/>
          <w:sz w:val="24"/>
          <w:lang w:val="en-US" w:eastAsia="zh-CN"/>
          <w14:textFill>
            <w14:solidFill>
              <w14:schemeClr w14:val="tx1"/>
            </w14:solidFill>
          </w14:textFill>
        </w:rPr>
        <w:t>3</w:t>
      </w:r>
      <w:r>
        <w:rPr>
          <w:rStyle w:val="163"/>
          <w:rFonts w:hint="eastAsia" w:ascii="宋体" w:hAnsi="宋体"/>
          <w:color w:val="000000" w:themeColor="text1"/>
          <w:sz w:val="24"/>
          <w14:textFill>
            <w14:solidFill>
              <w14:schemeClr w14:val="tx1"/>
            </w14:solidFill>
          </w14:textFill>
        </w:rPr>
        <w:t>万元，乙方应在 30 日内补足。否则，甲方有权单方面解除合同，且有权扣收乙方的履约保证金。</w:t>
      </w:r>
    </w:p>
    <w:p>
      <w:pPr>
        <w:adjustRightInd w:val="0"/>
        <w:snapToGrid w:val="0"/>
        <w:spacing w:line="360" w:lineRule="auto"/>
        <w:ind w:firstLine="482" w:firstLineChars="200"/>
        <w:textAlignment w:val="baseline"/>
        <w:rPr>
          <w:rStyle w:val="163"/>
          <w:rFonts w:ascii="宋体" w:hAnsi="宋体"/>
          <w:b/>
          <w:bCs/>
          <w:color w:val="000000" w:themeColor="text1"/>
          <w:sz w:val="24"/>
          <w14:textFill>
            <w14:solidFill>
              <w14:schemeClr w14:val="tx1"/>
            </w14:solidFill>
          </w14:textFill>
        </w:rPr>
      </w:pPr>
      <w:r>
        <w:rPr>
          <w:rStyle w:val="163"/>
          <w:rFonts w:hint="eastAsia" w:ascii="宋体" w:hAnsi="宋体"/>
          <w:b/>
          <w:bCs/>
          <w:color w:val="000000" w:themeColor="text1"/>
          <w:sz w:val="24"/>
          <w14:textFill>
            <w14:solidFill>
              <w14:schemeClr w14:val="tx1"/>
            </w14:solidFill>
          </w14:textFill>
        </w:rPr>
        <w:t>第八条 合同变更、 解除与终止</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1.经双方协商一致后可以变更或解除合同。</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2.一方严重违约，致使另一方合同目的不能实现，守约方可以单方面解除合同，并要求违约方一次性承担叁万元的违约金。</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3.合同期内，发生下列情况之一的，将视为乙方放弃本项目所有权及经营权:</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(1)乙方无法定或约定事由提前解除合同的；</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(2)乙方设备达不到服务标准且超过 10 天仍未达到服务标准的；</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(3)乙方擅自转包、停业的；</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(4)乙方不服从甲方管理，严重影响师生正常生活或教学秩序的；</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(5)乙方没有使用甲方许可的收款方式收取营业款，累计达到 2 次的；</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(6)乙方连续两次师生满意度在 85%以下的；</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(7)乙方擅自将设备（项目正式运营后，经双方书面确认的清单上的设备，下同）转让、变卖、抵押给甲方以外的任何第三人的；</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(8)乙方擅自拆除、毁坏和转移设备的；</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(9)乙方有窃水窃电行为，累计达到 2 次的；</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(10)乙方擅自提高服务项目价格，累计达到 2 次的；</w:t>
      </w:r>
    </w:p>
    <w:p>
      <w:pPr>
        <w:adjustRightInd w:val="0"/>
        <w:snapToGrid w:val="0"/>
        <w:spacing w:line="360" w:lineRule="auto"/>
        <w:ind w:firstLine="482" w:firstLineChars="200"/>
        <w:textAlignment w:val="baseline"/>
        <w:rPr>
          <w:rStyle w:val="163"/>
          <w:rFonts w:ascii="宋体" w:hAnsi="宋体"/>
          <w:b/>
          <w:bCs/>
          <w:color w:val="000000" w:themeColor="text1"/>
          <w:sz w:val="24"/>
          <w14:textFill>
            <w14:solidFill>
              <w14:schemeClr w14:val="tx1"/>
            </w14:solidFill>
          </w14:textFill>
        </w:rPr>
      </w:pPr>
      <w:r>
        <w:rPr>
          <w:rStyle w:val="163"/>
          <w:rFonts w:hint="eastAsia" w:ascii="宋体" w:hAnsi="宋体"/>
          <w:b/>
          <w:bCs/>
          <w:color w:val="000000" w:themeColor="text1"/>
          <w:sz w:val="24"/>
          <w14:textFill>
            <w14:solidFill>
              <w14:schemeClr w14:val="tx1"/>
            </w14:solidFill>
          </w14:textFill>
        </w:rPr>
        <w:t xml:space="preserve">第九条 争议解决 </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1.双方在执行合同中所发生的一切争议，应通过协商解决。如协商不成，可向合同签订地法院起诉，合同签订地在此约定为盐城市。</w:t>
      </w:r>
    </w:p>
    <w:p>
      <w:pPr>
        <w:adjustRightInd w:val="0"/>
        <w:snapToGrid w:val="0"/>
        <w:spacing w:line="360" w:lineRule="auto"/>
        <w:ind w:firstLine="480" w:firstLineChars="200"/>
        <w:textAlignment w:val="baseline"/>
        <w:rPr>
          <w:rStyle w:val="163"/>
          <w:rFonts w:ascii="宋体" w:hAnsi="宋体"/>
          <w:color w:val="000000" w:themeColor="text1"/>
          <w:sz w:val="24"/>
          <w14:textFill>
            <w14:solidFill>
              <w14:schemeClr w14:val="tx1"/>
            </w14:solidFill>
          </w14:textFill>
        </w:rPr>
      </w:pPr>
      <w:r>
        <w:rPr>
          <w:rStyle w:val="163"/>
          <w:rFonts w:hint="eastAsia" w:ascii="宋体" w:hAnsi="宋体"/>
          <w:color w:val="000000" w:themeColor="text1"/>
          <w:sz w:val="24"/>
          <w14:textFill>
            <w14:solidFill>
              <w14:schemeClr w14:val="tx1"/>
            </w14:solidFill>
          </w14:textFill>
        </w:rPr>
        <w:t>2.在相关诉讼过程中，除双方有争议的部分之外，其他部分仍应当继续履行，乙方拒不履行致使甲方无法正常使用设备的，甲方有权解除合同，乙方按 10000 元/天的标准向甲方支付违约金，且乙方的履约保证金不予退还。</w:t>
      </w:r>
    </w:p>
    <w:p>
      <w:pPr>
        <w:adjustRightInd w:val="0"/>
        <w:snapToGrid w:val="0"/>
        <w:spacing w:line="360" w:lineRule="auto"/>
        <w:ind w:firstLine="482" w:firstLineChars="200"/>
        <w:textAlignment w:val="baseline"/>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其他约定</w:t>
      </w:r>
    </w:p>
    <w:p>
      <w:pPr>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textAlignment w:val="baseline"/>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17.3 本合同正本一式二份，副本一式六份，具有同等法律效力。</w:t>
      </w:r>
    </w:p>
    <w:p>
      <w:pPr>
        <w:pStyle w:val="42"/>
        <w:widowControl w:val="0"/>
        <w:adjustRightInd w:val="0"/>
        <w:snapToGrid w:val="0"/>
        <w:spacing w:before="0" w:beforeAutospacing="0" w:after="0" w:afterAutospacing="0" w:line="36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42"/>
        <w:widowControl w:val="0"/>
        <w:adjustRightInd w:val="0"/>
        <w:snapToGrid w:val="0"/>
        <w:spacing w:before="0" w:beforeAutospacing="0" w:after="0" w:afterAutospacing="0" w:line="36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地址：                                   地址： </w:t>
      </w:r>
    </w:p>
    <w:p>
      <w:pPr>
        <w:pStyle w:val="42"/>
        <w:widowControl w:val="0"/>
        <w:adjustRightInd w:val="0"/>
        <w:snapToGrid w:val="0"/>
        <w:spacing w:before="0" w:beforeAutospacing="0" w:after="0" w:afterAutospacing="0" w:line="36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法定代表人或授权代表：                   法定代表人或授权代表：</w:t>
      </w:r>
    </w:p>
    <w:p>
      <w:pPr>
        <w:pStyle w:val="42"/>
        <w:widowControl w:val="0"/>
        <w:adjustRightInd w:val="0"/>
        <w:snapToGrid w:val="0"/>
        <w:spacing w:before="0" w:beforeAutospacing="0" w:after="0" w:afterAutospacing="0" w:line="36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42"/>
        <w:widowControl w:val="0"/>
        <w:adjustRightInd w:val="0"/>
        <w:snapToGrid w:val="0"/>
        <w:spacing w:before="0" w:beforeAutospacing="0" w:after="0" w:afterAutospacing="0" w:line="360" w:lineRule="auto"/>
        <w:ind w:firstLine="480" w:firstLineChars="200"/>
        <w:jc w:val="both"/>
        <w:textAlignment w:val="baseline"/>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联系电话：                               联系电话：</w:t>
      </w:r>
    </w:p>
    <w:p>
      <w:pPr>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textAlignment w:val="baseline"/>
        <w:rPr>
          <w:rFonts w:ascii="宋体" w:hAnsi="宋体" w:cs="宋体"/>
          <w:b/>
          <w:color w:val="000000" w:themeColor="text1"/>
          <w:sz w:val="44"/>
          <w14:textFill>
            <w14:solidFill>
              <w14:schemeClr w14:val="tx1"/>
            </w14:solidFill>
          </w14:textFill>
        </w:rPr>
        <w:sectPr>
          <w:headerReference r:id="rId3" w:type="default"/>
          <w:footerReference r:id="rId4"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14:textFill>
            <w14:solidFill>
              <w14:schemeClr w14:val="tx1"/>
            </w14:solidFill>
          </w14:textFill>
        </w:rPr>
        <w:t>签订日期：      年  月  日</w:t>
      </w:r>
    </w:p>
    <w:p>
      <w:pPr>
        <w:pStyle w:val="8"/>
        <w:adjustRightInd w:val="0"/>
        <w:snapToGrid w:val="0"/>
        <w:spacing w:before="0" w:after="0" w:line="360" w:lineRule="auto"/>
        <w:ind w:firstLine="2429" w:firstLineChars="550"/>
        <w:jc w:val="both"/>
        <w:rPr>
          <w:rFonts w:ascii="宋体" w:hAnsi="宋体" w:eastAsia="宋体" w:cs="宋体"/>
          <w:bCs/>
          <w:color w:val="000000" w:themeColor="text1"/>
          <w:szCs w:val="44"/>
          <w14:textFill>
            <w14:solidFill>
              <w14:schemeClr w14:val="tx1"/>
            </w14:solidFill>
          </w14:textFill>
        </w:rPr>
      </w:pPr>
      <w:bookmarkStart w:id="140" w:name="_Toc8252"/>
      <w:r>
        <w:rPr>
          <w:rFonts w:hint="eastAsia" w:ascii="宋体" w:hAnsi="宋体" w:eastAsia="宋体" w:cs="宋体"/>
          <w:bCs/>
          <w:color w:val="000000" w:themeColor="text1"/>
          <w:szCs w:val="44"/>
          <w14:textFill>
            <w14:solidFill>
              <w14:schemeClr w14:val="tx1"/>
            </w14:solidFill>
          </w14:textFill>
        </w:rPr>
        <w:t>第四章 项目需求</w:t>
      </w:r>
      <w:bookmarkEnd w:id="140"/>
    </w:p>
    <w:p>
      <w:pPr>
        <w:pStyle w:val="57"/>
        <w:spacing w:line="360" w:lineRule="auto"/>
        <w:ind w:firstLine="480"/>
        <w:rPr>
          <w:rStyle w:val="168"/>
          <w:rFonts w:ascii="宋体" w:hAnsi="宋体" w:eastAsia="宋体" w:cs="宋体"/>
          <w:sz w:val="24"/>
          <w:szCs w:val="24"/>
        </w:rPr>
      </w:pPr>
      <w:bookmarkStart w:id="141" w:name="_Toc16618"/>
      <w:bookmarkStart w:id="142" w:name="_Toc26554097"/>
      <w:bookmarkStart w:id="143" w:name="_Toc61149622"/>
      <w:bookmarkStart w:id="144" w:name="_Toc23828480"/>
      <w:r>
        <w:rPr>
          <w:rStyle w:val="168"/>
          <w:rFonts w:ascii="宋体" w:hAnsi="宋体" w:eastAsia="宋体"/>
          <w:sz w:val="24"/>
          <w:szCs w:val="24"/>
        </w:rPr>
        <w:t>1</w:t>
      </w:r>
      <w:r>
        <w:rPr>
          <w:rStyle w:val="168"/>
          <w:rFonts w:hint="eastAsia" w:ascii="宋体" w:hAnsi="宋体" w:eastAsia="宋体"/>
          <w:sz w:val="24"/>
          <w:szCs w:val="24"/>
          <w:lang w:val="zh-TW" w:eastAsia="zh-TW"/>
        </w:rPr>
        <w:t>、项目主要需求</w:t>
      </w:r>
    </w:p>
    <w:p>
      <w:pPr>
        <w:pStyle w:val="57"/>
        <w:spacing w:line="360" w:lineRule="auto"/>
        <w:ind w:firstLine="480"/>
        <w:rPr>
          <w:rStyle w:val="168"/>
          <w:rFonts w:ascii="宋体" w:hAnsi="宋体" w:eastAsia="宋体" w:cs="宋体"/>
          <w:sz w:val="24"/>
          <w:szCs w:val="24"/>
        </w:rPr>
      </w:pPr>
      <w:r>
        <w:rPr>
          <w:rStyle w:val="168"/>
          <w:rFonts w:ascii="宋体" w:hAnsi="宋体" w:eastAsia="宋体"/>
          <w:sz w:val="24"/>
          <w:szCs w:val="24"/>
        </w:rPr>
        <w:t xml:space="preserve">1.1 </w:t>
      </w:r>
      <w:r>
        <w:rPr>
          <w:rStyle w:val="168"/>
          <w:rFonts w:hint="eastAsia" w:ascii="宋体" w:hAnsi="宋体" w:eastAsia="宋体"/>
          <w:sz w:val="24"/>
          <w:szCs w:val="24"/>
          <w:lang w:val="zh-TW" w:eastAsia="zh-TW"/>
        </w:rPr>
        <w:t>学生</w:t>
      </w:r>
      <w:r>
        <w:rPr>
          <w:rStyle w:val="168"/>
          <w:rFonts w:hint="eastAsia" w:ascii="宋体" w:hAnsi="宋体" w:eastAsia="宋体"/>
          <w:sz w:val="24"/>
          <w:szCs w:val="24"/>
        </w:rPr>
        <w:t>宿舍</w:t>
      </w:r>
      <w:r>
        <w:rPr>
          <w:rStyle w:val="168"/>
          <w:rFonts w:hint="eastAsia" w:ascii="宋体" w:hAnsi="宋体" w:eastAsia="宋体"/>
          <w:sz w:val="24"/>
          <w:szCs w:val="24"/>
          <w:lang w:val="zh-TW" w:eastAsia="zh-TW"/>
        </w:rPr>
        <w:t>自助电吹风运营服务覆盖的区域最大容量约为</w:t>
      </w:r>
      <w:r>
        <w:rPr>
          <w:rStyle w:val="168"/>
          <w:rFonts w:hint="eastAsia" w:ascii="宋体" w:hAnsi="宋体" w:eastAsia="宋体"/>
          <w:sz w:val="24"/>
          <w:szCs w:val="24"/>
        </w:rPr>
        <w:t>7000名</w:t>
      </w:r>
      <w:r>
        <w:rPr>
          <w:rStyle w:val="168"/>
          <w:rFonts w:hint="eastAsia" w:ascii="宋体" w:hAnsi="宋体" w:eastAsia="宋体"/>
          <w:sz w:val="24"/>
          <w:szCs w:val="24"/>
          <w:lang w:val="zh-TW" w:eastAsia="zh-TW"/>
        </w:rPr>
        <w:t>学生；</w:t>
      </w:r>
    </w:p>
    <w:p>
      <w:pPr>
        <w:pStyle w:val="57"/>
        <w:spacing w:line="360" w:lineRule="auto"/>
        <w:ind w:firstLine="480"/>
        <w:rPr>
          <w:rStyle w:val="168"/>
          <w:rFonts w:hint="eastAsia" w:ascii="宋体" w:hAnsi="宋体" w:eastAsia="宋体"/>
          <w:sz w:val="24"/>
          <w:szCs w:val="24"/>
          <w:lang w:val="zh-TW" w:eastAsia="zh-TW"/>
        </w:rPr>
      </w:pPr>
      <w:r>
        <w:rPr>
          <w:rStyle w:val="168"/>
          <w:rFonts w:ascii="宋体" w:hAnsi="宋体" w:eastAsia="宋体"/>
          <w:sz w:val="24"/>
          <w:szCs w:val="24"/>
        </w:rPr>
        <w:t xml:space="preserve">1.2 </w:t>
      </w:r>
      <w:r>
        <w:rPr>
          <w:rStyle w:val="168"/>
          <w:rFonts w:hint="eastAsia" w:ascii="宋体" w:hAnsi="宋体" w:eastAsia="宋体"/>
          <w:sz w:val="24"/>
          <w:szCs w:val="24"/>
          <w:lang w:val="zh-TW" w:eastAsia="zh-TW"/>
        </w:rPr>
        <w:t>学生</w:t>
      </w:r>
      <w:r>
        <w:rPr>
          <w:rStyle w:val="168"/>
          <w:rFonts w:hint="eastAsia" w:ascii="宋体" w:hAnsi="宋体" w:eastAsia="宋体"/>
          <w:sz w:val="24"/>
          <w:szCs w:val="24"/>
        </w:rPr>
        <w:t>宿舍</w:t>
      </w:r>
      <w:r>
        <w:rPr>
          <w:rStyle w:val="168"/>
          <w:rFonts w:hint="eastAsia" w:ascii="宋体" w:hAnsi="宋体" w:eastAsia="宋体"/>
          <w:sz w:val="24"/>
          <w:szCs w:val="24"/>
          <w:lang w:val="zh-TW" w:eastAsia="zh-TW"/>
        </w:rPr>
        <w:t>楼规划投放约一批自助电吹风，设备及配件必须为全新，在学生宿舍楼走道长廊等公共区域安装吹风机，男生宿舍每栋楼</w:t>
      </w:r>
      <w:r>
        <w:rPr>
          <w:rStyle w:val="168"/>
          <w:rFonts w:hint="eastAsia" w:ascii="宋体" w:hAnsi="宋体" w:eastAsia="宋体"/>
          <w:sz w:val="24"/>
          <w:szCs w:val="24"/>
          <w:lang w:val="en-US" w:eastAsia="zh-CN"/>
        </w:rPr>
        <w:t>每层</w:t>
      </w:r>
      <w:r>
        <w:rPr>
          <w:rStyle w:val="168"/>
          <w:rFonts w:hint="eastAsia" w:ascii="宋体" w:hAnsi="宋体" w:eastAsia="宋体"/>
          <w:sz w:val="24"/>
          <w:szCs w:val="24"/>
          <w:lang w:val="zh-TW" w:eastAsia="zh-TW"/>
        </w:rPr>
        <w:t>安装</w:t>
      </w:r>
      <w:r>
        <w:rPr>
          <w:rStyle w:val="168"/>
          <w:rFonts w:hint="eastAsia" w:ascii="宋体" w:hAnsi="宋体" w:eastAsia="宋体"/>
          <w:sz w:val="24"/>
          <w:szCs w:val="24"/>
        </w:rPr>
        <w:t>不少于2台</w:t>
      </w:r>
      <w:r>
        <w:rPr>
          <w:rStyle w:val="168"/>
          <w:rFonts w:hint="eastAsia" w:ascii="宋体" w:hAnsi="宋体" w:eastAsia="宋体"/>
          <w:sz w:val="24"/>
          <w:szCs w:val="24"/>
          <w:lang w:val="zh-TW" w:eastAsia="zh-TW"/>
        </w:rPr>
        <w:t>吹风机，女生宿舍楼每</w:t>
      </w:r>
      <w:r>
        <w:rPr>
          <w:rStyle w:val="168"/>
          <w:rFonts w:hint="eastAsia" w:ascii="宋体" w:hAnsi="宋体" w:eastAsia="宋体"/>
          <w:sz w:val="24"/>
          <w:szCs w:val="24"/>
          <w:lang w:val="en-US" w:eastAsia="zh-CN"/>
        </w:rPr>
        <w:t>层</w:t>
      </w:r>
      <w:r>
        <w:rPr>
          <w:rStyle w:val="168"/>
          <w:rFonts w:hint="eastAsia" w:ascii="宋体" w:hAnsi="宋体" w:eastAsia="宋体"/>
          <w:sz w:val="24"/>
          <w:szCs w:val="24"/>
          <w:lang w:val="zh-TW" w:eastAsia="zh-TW"/>
        </w:rPr>
        <w:t>安装</w:t>
      </w:r>
      <w:r>
        <w:rPr>
          <w:rStyle w:val="168"/>
          <w:rFonts w:hint="eastAsia" w:ascii="宋体" w:hAnsi="宋体" w:eastAsia="宋体"/>
          <w:sz w:val="24"/>
          <w:szCs w:val="24"/>
        </w:rPr>
        <w:t>不少于4台</w:t>
      </w:r>
      <w:r>
        <w:rPr>
          <w:rStyle w:val="168"/>
          <w:rFonts w:hint="eastAsia" w:ascii="宋体" w:hAnsi="宋体" w:eastAsia="宋体"/>
          <w:sz w:val="24"/>
          <w:szCs w:val="24"/>
          <w:lang w:val="zh-TW" w:eastAsia="zh-TW"/>
        </w:rPr>
        <w:t>吹风机，</w:t>
      </w:r>
      <w:r>
        <w:rPr>
          <w:rFonts w:hint="eastAsia" w:ascii="宋体" w:hAnsi="宋体" w:cs="宋体"/>
          <w:color w:val="000000" w:themeColor="text1"/>
          <w:sz w:val="24"/>
          <w:lang w:val="en-US" w:eastAsia="zh-CN"/>
          <w14:textFill>
            <w14:solidFill>
              <w14:schemeClr w14:val="tx1"/>
            </w14:solidFill>
          </w14:textFill>
        </w:rPr>
        <w:t>总安装数不少于</w:t>
      </w:r>
      <w:r>
        <w:rPr>
          <w:rStyle w:val="168"/>
          <w:rFonts w:hint="eastAsia" w:ascii="宋体" w:hAnsi="宋体" w:eastAsia="宋体"/>
          <w:sz w:val="24"/>
          <w:szCs w:val="24"/>
          <w:lang w:val="en-US" w:eastAsia="zh-CN"/>
        </w:rPr>
        <w:t>148台，</w:t>
      </w:r>
      <w:r>
        <w:rPr>
          <w:rStyle w:val="168"/>
          <w:rFonts w:hint="eastAsia" w:ascii="宋体" w:hAnsi="宋体" w:eastAsia="宋体"/>
          <w:sz w:val="24"/>
          <w:szCs w:val="24"/>
          <w:lang w:val="zh-TW" w:eastAsia="zh-TW"/>
        </w:rPr>
        <w:t>具体需求见</w:t>
      </w:r>
      <w:r>
        <w:rPr>
          <w:rStyle w:val="168"/>
          <w:rFonts w:hint="eastAsia" w:ascii="宋体" w:hAnsi="宋体" w:eastAsia="宋体"/>
          <w:sz w:val="24"/>
          <w:szCs w:val="24"/>
          <w:lang w:val="en-US" w:eastAsia="zh-CN"/>
        </w:rPr>
        <w:t>下表</w:t>
      </w:r>
      <w:r>
        <w:rPr>
          <w:rStyle w:val="168"/>
          <w:rFonts w:hint="eastAsia" w:ascii="宋体" w:hAnsi="宋体" w:eastAsia="宋体"/>
          <w:sz w:val="24"/>
          <w:szCs w:val="24"/>
          <w:lang w:val="zh-TW" w:eastAsia="zh-TW"/>
        </w:rPr>
        <w:t>。</w:t>
      </w:r>
    </w:p>
    <w:tbl>
      <w:tblPr>
        <w:tblStyle w:val="47"/>
        <w:tblW w:w="7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67"/>
        <w:gridCol w:w="1306"/>
        <w:gridCol w:w="1289"/>
        <w:gridCol w:w="1266"/>
        <w:gridCol w:w="105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067" w:type="dxa"/>
            <w:noWrap w:val="0"/>
            <w:vAlign w:val="center"/>
          </w:tcPr>
          <w:p>
            <w:pPr>
              <w:spacing w:line="320" w:lineRule="exact"/>
              <w:jc w:val="center"/>
              <w:rPr>
                <w:rFonts w:hint="eastAsia" w:ascii="宋体"/>
                <w:b/>
                <w:bCs/>
                <w:sz w:val="24"/>
                <w:szCs w:val="24"/>
              </w:rPr>
            </w:pPr>
            <w:r>
              <w:rPr>
                <w:rFonts w:hint="eastAsia" w:ascii="宋体"/>
                <w:b/>
                <w:bCs/>
                <w:sz w:val="24"/>
                <w:szCs w:val="24"/>
              </w:rPr>
              <w:t>楼宇号</w:t>
            </w:r>
          </w:p>
        </w:tc>
        <w:tc>
          <w:tcPr>
            <w:tcW w:w="1306" w:type="dxa"/>
            <w:noWrap w:val="0"/>
            <w:vAlign w:val="center"/>
          </w:tcPr>
          <w:p>
            <w:pPr>
              <w:spacing w:line="320" w:lineRule="exact"/>
              <w:jc w:val="center"/>
              <w:rPr>
                <w:rFonts w:hint="eastAsia" w:ascii="宋体"/>
                <w:b/>
                <w:bCs/>
                <w:sz w:val="24"/>
                <w:szCs w:val="24"/>
              </w:rPr>
            </w:pPr>
            <w:r>
              <w:rPr>
                <w:rFonts w:hint="eastAsia" w:ascii="宋体"/>
                <w:b/>
                <w:bCs/>
                <w:sz w:val="24"/>
                <w:szCs w:val="24"/>
              </w:rPr>
              <w:t>入住学生数</w:t>
            </w:r>
          </w:p>
        </w:tc>
        <w:tc>
          <w:tcPr>
            <w:tcW w:w="1289" w:type="dxa"/>
            <w:noWrap w:val="0"/>
            <w:vAlign w:val="center"/>
          </w:tcPr>
          <w:p>
            <w:pPr>
              <w:spacing w:line="320" w:lineRule="exact"/>
              <w:jc w:val="center"/>
              <w:rPr>
                <w:rFonts w:hint="eastAsia" w:ascii="宋体"/>
                <w:b/>
                <w:bCs/>
                <w:sz w:val="24"/>
                <w:szCs w:val="24"/>
              </w:rPr>
            </w:pPr>
            <w:r>
              <w:rPr>
                <w:rFonts w:hint="eastAsia" w:ascii="宋体"/>
                <w:b/>
                <w:bCs/>
                <w:sz w:val="24"/>
                <w:szCs w:val="24"/>
                <w:lang w:val="en-US" w:eastAsia="zh-CN"/>
              </w:rPr>
              <w:t>吹风机</w:t>
            </w:r>
            <w:r>
              <w:rPr>
                <w:rFonts w:hint="eastAsia" w:ascii="宋体"/>
                <w:b/>
                <w:bCs/>
                <w:sz w:val="24"/>
                <w:szCs w:val="24"/>
              </w:rPr>
              <w:t>数量</w:t>
            </w:r>
          </w:p>
        </w:tc>
        <w:tc>
          <w:tcPr>
            <w:tcW w:w="1266" w:type="dxa"/>
            <w:noWrap w:val="0"/>
            <w:vAlign w:val="center"/>
          </w:tcPr>
          <w:p>
            <w:pPr>
              <w:spacing w:line="320" w:lineRule="exact"/>
              <w:jc w:val="center"/>
              <w:rPr>
                <w:rFonts w:hint="eastAsia" w:ascii="宋体"/>
                <w:b/>
                <w:bCs/>
                <w:sz w:val="24"/>
                <w:szCs w:val="24"/>
                <w:lang w:val="en-US" w:eastAsia="zh-CN"/>
              </w:rPr>
            </w:pPr>
            <w:r>
              <w:rPr>
                <w:rFonts w:hint="eastAsia" w:ascii="宋体"/>
                <w:b/>
                <w:bCs/>
                <w:sz w:val="24"/>
                <w:szCs w:val="24"/>
              </w:rPr>
              <w:t>楼宇号</w:t>
            </w:r>
          </w:p>
        </w:tc>
        <w:tc>
          <w:tcPr>
            <w:tcW w:w="1057" w:type="dxa"/>
            <w:noWrap w:val="0"/>
            <w:vAlign w:val="center"/>
          </w:tcPr>
          <w:p>
            <w:pPr>
              <w:spacing w:line="320" w:lineRule="exact"/>
              <w:jc w:val="center"/>
              <w:rPr>
                <w:rFonts w:hint="eastAsia" w:ascii="宋体"/>
                <w:b/>
                <w:bCs/>
                <w:sz w:val="24"/>
                <w:szCs w:val="24"/>
                <w:lang w:val="en-US" w:eastAsia="zh-CN"/>
              </w:rPr>
            </w:pPr>
            <w:r>
              <w:rPr>
                <w:rFonts w:hint="eastAsia" w:ascii="宋体"/>
                <w:b/>
                <w:bCs/>
                <w:sz w:val="24"/>
                <w:szCs w:val="24"/>
              </w:rPr>
              <w:t>入住学生数</w:t>
            </w:r>
          </w:p>
        </w:tc>
        <w:tc>
          <w:tcPr>
            <w:tcW w:w="1608" w:type="dxa"/>
            <w:noWrap w:val="0"/>
            <w:vAlign w:val="center"/>
          </w:tcPr>
          <w:p>
            <w:pPr>
              <w:spacing w:line="320" w:lineRule="exact"/>
              <w:jc w:val="center"/>
              <w:rPr>
                <w:rFonts w:hint="eastAsia" w:ascii="宋体"/>
                <w:b/>
                <w:bCs/>
                <w:sz w:val="24"/>
                <w:szCs w:val="24"/>
              </w:rPr>
            </w:pPr>
            <w:r>
              <w:rPr>
                <w:rFonts w:hint="eastAsia" w:ascii="宋体"/>
                <w:b/>
                <w:bCs/>
                <w:sz w:val="24"/>
                <w:szCs w:val="24"/>
                <w:lang w:val="en-US" w:eastAsia="zh-CN"/>
              </w:rPr>
              <w:t>吹风机</w:t>
            </w:r>
            <w:r>
              <w:rPr>
                <w:rFonts w:hint="eastAsia" w:ascii="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067" w:type="dxa"/>
            <w:noWrap w:val="0"/>
            <w:vAlign w:val="center"/>
          </w:tcPr>
          <w:p>
            <w:pPr>
              <w:spacing w:line="320" w:lineRule="exact"/>
              <w:jc w:val="center"/>
              <w:rPr>
                <w:rFonts w:hint="eastAsia" w:ascii="宋体"/>
                <w:sz w:val="24"/>
                <w:szCs w:val="24"/>
              </w:rPr>
            </w:pPr>
            <w:r>
              <w:rPr>
                <w:rFonts w:hint="eastAsia" w:ascii="宋体"/>
                <w:sz w:val="24"/>
                <w:szCs w:val="24"/>
              </w:rPr>
              <w:t>1#</w:t>
            </w:r>
          </w:p>
        </w:tc>
        <w:tc>
          <w:tcPr>
            <w:tcW w:w="1306" w:type="dxa"/>
            <w:noWrap w:val="0"/>
            <w:vAlign w:val="center"/>
          </w:tcPr>
          <w:p>
            <w:pPr>
              <w:spacing w:line="320" w:lineRule="exact"/>
              <w:jc w:val="center"/>
              <w:rPr>
                <w:rFonts w:hint="eastAsia" w:ascii="宋体"/>
                <w:sz w:val="24"/>
                <w:szCs w:val="24"/>
              </w:rPr>
            </w:pPr>
            <w:r>
              <w:rPr>
                <w:rFonts w:hint="eastAsia" w:ascii="宋体"/>
                <w:sz w:val="24"/>
                <w:szCs w:val="24"/>
              </w:rPr>
              <w:t>1002</w:t>
            </w:r>
          </w:p>
        </w:tc>
        <w:tc>
          <w:tcPr>
            <w:tcW w:w="1289" w:type="dxa"/>
            <w:noWrap w:val="0"/>
            <w:vAlign w:val="center"/>
          </w:tcPr>
          <w:p>
            <w:pPr>
              <w:spacing w:line="320" w:lineRule="exact"/>
              <w:jc w:val="center"/>
              <w:rPr>
                <w:rFonts w:hint="eastAsia" w:ascii="宋体"/>
                <w:sz w:val="24"/>
                <w:szCs w:val="24"/>
              </w:rPr>
            </w:pPr>
            <w:r>
              <w:rPr>
                <w:rFonts w:hint="eastAsia" w:ascii="宋体"/>
                <w:sz w:val="24"/>
                <w:szCs w:val="24"/>
                <w:lang w:val="en-US" w:eastAsia="zh-CN"/>
              </w:rPr>
              <w:t>24</w:t>
            </w:r>
            <w:r>
              <w:rPr>
                <w:rFonts w:hint="eastAsia" w:ascii="宋体"/>
                <w:sz w:val="24"/>
                <w:szCs w:val="24"/>
              </w:rPr>
              <w:t>台</w:t>
            </w:r>
          </w:p>
        </w:tc>
        <w:tc>
          <w:tcPr>
            <w:tcW w:w="1266" w:type="dxa"/>
            <w:noWrap w:val="0"/>
            <w:vAlign w:val="center"/>
          </w:tcPr>
          <w:p>
            <w:pPr>
              <w:spacing w:line="320" w:lineRule="exact"/>
              <w:jc w:val="center"/>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5#6#</w:t>
            </w:r>
          </w:p>
        </w:tc>
        <w:tc>
          <w:tcPr>
            <w:tcW w:w="1057" w:type="dxa"/>
            <w:noWrap w:val="0"/>
            <w:vAlign w:val="center"/>
          </w:tcPr>
          <w:p>
            <w:pPr>
              <w:spacing w:line="320" w:lineRule="exact"/>
              <w:jc w:val="center"/>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1422</w:t>
            </w:r>
          </w:p>
        </w:tc>
        <w:tc>
          <w:tcPr>
            <w:tcW w:w="1608" w:type="dxa"/>
            <w:noWrap w:val="0"/>
            <w:vAlign w:val="center"/>
          </w:tcPr>
          <w:p>
            <w:pPr>
              <w:spacing w:line="320" w:lineRule="exact"/>
              <w:jc w:val="center"/>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24台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067" w:type="dxa"/>
            <w:noWrap w:val="0"/>
            <w:vAlign w:val="center"/>
          </w:tcPr>
          <w:p>
            <w:pPr>
              <w:spacing w:line="320" w:lineRule="exact"/>
              <w:jc w:val="center"/>
              <w:rPr>
                <w:rFonts w:hint="eastAsia" w:ascii="宋体"/>
                <w:sz w:val="24"/>
                <w:szCs w:val="24"/>
              </w:rPr>
            </w:pPr>
            <w:r>
              <w:rPr>
                <w:rFonts w:hint="eastAsia" w:ascii="宋体"/>
                <w:sz w:val="24"/>
                <w:szCs w:val="24"/>
              </w:rPr>
              <w:t>2#</w:t>
            </w:r>
          </w:p>
        </w:tc>
        <w:tc>
          <w:tcPr>
            <w:tcW w:w="1306" w:type="dxa"/>
            <w:noWrap w:val="0"/>
            <w:vAlign w:val="center"/>
          </w:tcPr>
          <w:p>
            <w:pPr>
              <w:spacing w:line="320" w:lineRule="exact"/>
              <w:jc w:val="center"/>
              <w:rPr>
                <w:rFonts w:hint="eastAsia" w:ascii="宋体"/>
                <w:sz w:val="24"/>
                <w:szCs w:val="24"/>
              </w:rPr>
            </w:pPr>
            <w:r>
              <w:rPr>
                <w:rFonts w:hint="eastAsia" w:ascii="宋体"/>
                <w:sz w:val="24"/>
                <w:szCs w:val="24"/>
              </w:rPr>
              <w:t>714</w:t>
            </w:r>
          </w:p>
        </w:tc>
        <w:tc>
          <w:tcPr>
            <w:tcW w:w="1289" w:type="dxa"/>
            <w:noWrap w:val="0"/>
            <w:vAlign w:val="center"/>
          </w:tcPr>
          <w:p>
            <w:pPr>
              <w:spacing w:line="320" w:lineRule="exact"/>
              <w:jc w:val="center"/>
              <w:rPr>
                <w:rFonts w:hint="eastAsia" w:ascii="宋体"/>
                <w:sz w:val="24"/>
                <w:szCs w:val="24"/>
              </w:rPr>
            </w:pPr>
            <w:r>
              <w:rPr>
                <w:rFonts w:hint="eastAsia" w:ascii="宋体"/>
                <w:sz w:val="24"/>
                <w:szCs w:val="24"/>
                <w:lang w:val="en-US" w:eastAsia="zh-CN"/>
              </w:rPr>
              <w:t>24</w:t>
            </w:r>
            <w:r>
              <w:rPr>
                <w:rFonts w:hint="eastAsia" w:ascii="宋体"/>
                <w:sz w:val="24"/>
                <w:szCs w:val="24"/>
              </w:rPr>
              <w:t>台</w:t>
            </w:r>
          </w:p>
        </w:tc>
        <w:tc>
          <w:tcPr>
            <w:tcW w:w="1266" w:type="dxa"/>
            <w:noWrap w:val="0"/>
            <w:vAlign w:val="center"/>
          </w:tcPr>
          <w:p>
            <w:pPr>
              <w:spacing w:line="320" w:lineRule="exact"/>
              <w:jc w:val="center"/>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7#8#</w:t>
            </w:r>
          </w:p>
        </w:tc>
        <w:tc>
          <w:tcPr>
            <w:tcW w:w="1057" w:type="dxa"/>
            <w:noWrap w:val="0"/>
            <w:vAlign w:val="center"/>
          </w:tcPr>
          <w:p>
            <w:pPr>
              <w:spacing w:line="320" w:lineRule="exact"/>
              <w:jc w:val="center"/>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2028</w:t>
            </w:r>
          </w:p>
        </w:tc>
        <w:tc>
          <w:tcPr>
            <w:tcW w:w="1608" w:type="dxa"/>
            <w:noWrap w:val="0"/>
            <w:vAlign w:val="center"/>
          </w:tcPr>
          <w:p>
            <w:pPr>
              <w:spacing w:line="320" w:lineRule="exact"/>
              <w:jc w:val="center"/>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24台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067" w:type="dxa"/>
            <w:noWrap w:val="0"/>
            <w:vAlign w:val="center"/>
          </w:tcPr>
          <w:p>
            <w:pPr>
              <w:spacing w:line="320" w:lineRule="exact"/>
              <w:jc w:val="center"/>
              <w:rPr>
                <w:rFonts w:hint="eastAsia" w:ascii="宋体"/>
                <w:sz w:val="24"/>
                <w:szCs w:val="24"/>
              </w:rPr>
            </w:pPr>
            <w:r>
              <w:rPr>
                <w:rFonts w:hint="eastAsia" w:ascii="宋体"/>
                <w:sz w:val="24"/>
                <w:szCs w:val="24"/>
              </w:rPr>
              <w:t>3#</w:t>
            </w:r>
            <w:r>
              <w:rPr>
                <w:rFonts w:hint="eastAsia" w:ascii="宋体"/>
                <w:sz w:val="24"/>
                <w:szCs w:val="24"/>
                <w:lang w:eastAsia="zh-CN"/>
              </w:rPr>
              <w:t>、</w:t>
            </w:r>
            <w:r>
              <w:rPr>
                <w:rFonts w:hint="eastAsia" w:ascii="宋体"/>
                <w:sz w:val="24"/>
                <w:szCs w:val="24"/>
              </w:rPr>
              <w:t>4#</w:t>
            </w:r>
          </w:p>
        </w:tc>
        <w:tc>
          <w:tcPr>
            <w:tcW w:w="1306" w:type="dxa"/>
            <w:noWrap w:val="0"/>
            <w:vAlign w:val="center"/>
          </w:tcPr>
          <w:p>
            <w:pPr>
              <w:spacing w:line="320" w:lineRule="exact"/>
              <w:jc w:val="center"/>
              <w:rPr>
                <w:rFonts w:hint="default" w:ascii="宋体" w:eastAsia="宋体"/>
                <w:sz w:val="24"/>
                <w:szCs w:val="24"/>
                <w:lang w:val="en-US" w:eastAsia="zh-CN"/>
              </w:rPr>
            </w:pPr>
            <w:r>
              <w:rPr>
                <w:rFonts w:hint="eastAsia" w:ascii="宋体"/>
                <w:sz w:val="24"/>
                <w:szCs w:val="24"/>
                <w:lang w:val="en-US" w:eastAsia="zh-CN"/>
              </w:rPr>
              <w:t>1362</w:t>
            </w:r>
          </w:p>
        </w:tc>
        <w:tc>
          <w:tcPr>
            <w:tcW w:w="1289" w:type="dxa"/>
            <w:noWrap w:val="0"/>
            <w:vAlign w:val="center"/>
          </w:tcPr>
          <w:p>
            <w:pPr>
              <w:spacing w:line="320" w:lineRule="exact"/>
              <w:jc w:val="center"/>
              <w:rPr>
                <w:rFonts w:hint="eastAsia" w:ascii="宋体"/>
                <w:sz w:val="24"/>
                <w:szCs w:val="24"/>
              </w:rPr>
            </w:pPr>
            <w:r>
              <w:rPr>
                <w:rFonts w:hint="eastAsia" w:ascii="宋体"/>
                <w:sz w:val="24"/>
                <w:szCs w:val="24"/>
                <w:lang w:val="en-US" w:eastAsia="zh-CN"/>
              </w:rPr>
              <w:t>24</w:t>
            </w:r>
            <w:r>
              <w:rPr>
                <w:rFonts w:hint="eastAsia" w:ascii="宋体"/>
                <w:sz w:val="24"/>
                <w:szCs w:val="24"/>
              </w:rPr>
              <w:t>台</w:t>
            </w:r>
          </w:p>
        </w:tc>
        <w:tc>
          <w:tcPr>
            <w:tcW w:w="1266" w:type="dxa"/>
            <w:noWrap w:val="0"/>
            <w:vAlign w:val="center"/>
          </w:tcPr>
          <w:p>
            <w:pPr>
              <w:spacing w:line="320" w:lineRule="exact"/>
              <w:jc w:val="center"/>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9#</w:t>
            </w:r>
          </w:p>
        </w:tc>
        <w:tc>
          <w:tcPr>
            <w:tcW w:w="1057" w:type="dxa"/>
            <w:noWrap w:val="0"/>
            <w:vAlign w:val="center"/>
          </w:tcPr>
          <w:p>
            <w:pPr>
              <w:spacing w:line="320" w:lineRule="exact"/>
              <w:jc w:val="center"/>
              <w:rPr>
                <w:rFonts w:hint="default"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1356</w:t>
            </w:r>
          </w:p>
        </w:tc>
        <w:tc>
          <w:tcPr>
            <w:tcW w:w="1608" w:type="dxa"/>
            <w:noWrap w:val="0"/>
            <w:vAlign w:val="center"/>
          </w:tcPr>
          <w:p>
            <w:pPr>
              <w:spacing w:line="320" w:lineRule="exact"/>
              <w:jc w:val="center"/>
              <w:rPr>
                <w:rFonts w:hint="eastAsia" w:ascii="宋体" w:hAnsi="Times New Roman" w:eastAsia="宋体" w:cs="Times New Roman"/>
                <w:sz w:val="24"/>
                <w:szCs w:val="24"/>
                <w:lang w:val="en-US" w:eastAsia="zh-CN"/>
              </w:rPr>
            </w:pPr>
            <w:r>
              <w:rPr>
                <w:rFonts w:hint="eastAsia" w:ascii="宋体" w:hAnsi="Times New Roman" w:eastAsia="宋体" w:cs="Times New Roman"/>
                <w:sz w:val="24"/>
                <w:szCs w:val="24"/>
                <w:lang w:val="en-US" w:eastAsia="zh-CN"/>
              </w:rPr>
              <w:t>24台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067" w:type="dxa"/>
            <w:noWrap w:val="0"/>
            <w:vAlign w:val="center"/>
          </w:tcPr>
          <w:p>
            <w:pPr>
              <w:spacing w:line="320" w:lineRule="exact"/>
              <w:jc w:val="center"/>
              <w:rPr>
                <w:rFonts w:hint="eastAsia" w:ascii="宋体" w:hAnsi="Times New Roman" w:eastAsia="宋体" w:cs="Times New Roman"/>
                <w:kern w:val="2"/>
                <w:sz w:val="24"/>
                <w:szCs w:val="24"/>
                <w:lang w:val="en-US" w:eastAsia="zh-CN" w:bidi="ar-SA"/>
              </w:rPr>
            </w:pPr>
            <w:r>
              <w:rPr>
                <w:rFonts w:hint="eastAsia" w:ascii="宋体"/>
                <w:spacing w:val="-12"/>
                <w:sz w:val="24"/>
                <w:szCs w:val="24"/>
                <w:lang w:val="en-US" w:eastAsia="zh-CN"/>
              </w:rPr>
              <w:t>创业园</w:t>
            </w:r>
          </w:p>
        </w:tc>
        <w:tc>
          <w:tcPr>
            <w:tcW w:w="1306" w:type="dxa"/>
            <w:noWrap w:val="0"/>
            <w:vAlign w:val="center"/>
          </w:tcPr>
          <w:p>
            <w:pPr>
              <w:spacing w:line="320" w:lineRule="exact"/>
              <w:jc w:val="center"/>
              <w:rPr>
                <w:rFonts w:hint="eastAsia" w:ascii="宋体" w:hAnsi="Times New Roman" w:eastAsia="宋体" w:cs="Times New Roman"/>
                <w:kern w:val="2"/>
                <w:sz w:val="24"/>
                <w:szCs w:val="24"/>
                <w:lang w:val="en-US" w:eastAsia="zh-CN" w:bidi="ar-SA"/>
              </w:rPr>
            </w:pPr>
            <w:r>
              <w:rPr>
                <w:rFonts w:hint="eastAsia" w:ascii="宋体" w:eastAsia="宋体"/>
                <w:sz w:val="24"/>
                <w:szCs w:val="24"/>
                <w:lang w:val="en-US" w:eastAsia="zh-CN"/>
              </w:rPr>
              <w:t>2</w:t>
            </w:r>
            <w:r>
              <w:rPr>
                <w:rFonts w:hint="eastAsia" w:ascii="宋体"/>
                <w:sz w:val="24"/>
                <w:szCs w:val="24"/>
              </w:rPr>
              <w:t>00</w:t>
            </w:r>
          </w:p>
        </w:tc>
        <w:tc>
          <w:tcPr>
            <w:tcW w:w="1289" w:type="dxa"/>
            <w:noWrap w:val="0"/>
            <w:vAlign w:val="center"/>
          </w:tcPr>
          <w:p>
            <w:pPr>
              <w:spacing w:line="320" w:lineRule="exact"/>
              <w:jc w:val="center"/>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4</w:t>
            </w:r>
            <w:r>
              <w:rPr>
                <w:rFonts w:hint="eastAsia" w:ascii="宋体"/>
                <w:sz w:val="24"/>
                <w:szCs w:val="24"/>
              </w:rPr>
              <w:t>台</w:t>
            </w:r>
          </w:p>
        </w:tc>
        <w:tc>
          <w:tcPr>
            <w:tcW w:w="1266" w:type="dxa"/>
            <w:noWrap w:val="0"/>
            <w:vAlign w:val="center"/>
          </w:tcPr>
          <w:p>
            <w:pPr>
              <w:spacing w:line="320" w:lineRule="exact"/>
              <w:jc w:val="center"/>
              <w:rPr>
                <w:rFonts w:hint="eastAsia" w:ascii="宋体" w:eastAsia="宋体" w:cs="Times New Roman"/>
                <w:kern w:val="2"/>
                <w:sz w:val="24"/>
                <w:szCs w:val="24"/>
                <w:lang w:val="en-US" w:eastAsia="zh-CN" w:bidi="ar-SA"/>
              </w:rPr>
            </w:pPr>
          </w:p>
        </w:tc>
        <w:tc>
          <w:tcPr>
            <w:tcW w:w="1057" w:type="dxa"/>
            <w:noWrap w:val="0"/>
            <w:vAlign w:val="center"/>
          </w:tcPr>
          <w:p>
            <w:pPr>
              <w:spacing w:line="320" w:lineRule="exact"/>
              <w:jc w:val="center"/>
              <w:rPr>
                <w:rFonts w:hint="eastAsia" w:ascii="Arial" w:hAnsi="Arial" w:eastAsia="宋体" w:cs="Arial"/>
                <w:kern w:val="2"/>
                <w:sz w:val="24"/>
                <w:szCs w:val="24"/>
                <w:lang w:val="en-US" w:eastAsia="zh-CN" w:bidi="ar-SA"/>
              </w:rPr>
            </w:pPr>
          </w:p>
        </w:tc>
        <w:tc>
          <w:tcPr>
            <w:tcW w:w="1608" w:type="dxa"/>
            <w:noWrap w:val="0"/>
            <w:vAlign w:val="center"/>
          </w:tcPr>
          <w:p>
            <w:pPr>
              <w:spacing w:line="320" w:lineRule="exact"/>
              <w:jc w:val="center"/>
              <w:rPr>
                <w:rFonts w:hint="eastAsia" w:ascii="宋体"/>
                <w:sz w:val="24"/>
                <w:szCs w:val="24"/>
              </w:rPr>
            </w:pPr>
          </w:p>
        </w:tc>
      </w:tr>
    </w:tbl>
    <w:p>
      <w:pPr>
        <w:pStyle w:val="40"/>
      </w:pPr>
    </w:p>
    <w:p>
      <w:pPr>
        <w:pStyle w:val="57"/>
        <w:spacing w:line="360" w:lineRule="auto"/>
        <w:ind w:firstLine="480"/>
        <w:rPr>
          <w:rStyle w:val="168"/>
          <w:rFonts w:ascii="宋体" w:hAnsi="宋体" w:eastAsia="宋体" w:cs="Times New Roman"/>
          <w:sz w:val="24"/>
          <w:szCs w:val="24"/>
          <w:lang w:val="zh-TW" w:eastAsia="zh-TW"/>
        </w:rPr>
      </w:pPr>
      <w:r>
        <w:rPr>
          <w:rStyle w:val="168"/>
          <w:rFonts w:ascii="宋体" w:hAnsi="宋体" w:eastAsia="宋体"/>
          <w:sz w:val="24"/>
          <w:szCs w:val="24"/>
        </w:rPr>
        <w:t>1.3</w:t>
      </w:r>
      <w:r>
        <w:rPr>
          <w:rStyle w:val="168"/>
          <w:rFonts w:hint="eastAsia" w:ascii="宋体" w:hAnsi="宋体" w:eastAsia="宋体"/>
          <w:sz w:val="24"/>
          <w:szCs w:val="24"/>
          <w:lang w:val="zh-TW" w:eastAsia="zh-TW"/>
        </w:rPr>
        <w:t>、单款吹风机功率为</w:t>
      </w:r>
      <w:r>
        <w:rPr>
          <w:rStyle w:val="168"/>
          <w:rFonts w:hint="eastAsia" w:ascii="宋体" w:hAnsi="宋体" w:eastAsia="宋体" w:cs="Times New Roman"/>
          <w:sz w:val="24"/>
          <w:szCs w:val="24"/>
          <w:lang w:val="zh-TW" w:eastAsia="zh-TW"/>
        </w:rPr>
        <w:t>1300w-1600w、电吹风必须提供国家强制性3C认证， 具有高温断电功能，设备安全可靠，稳定耐用，符合相关国家要求，不得使用改装机、返修机。支持手机线上支付功能，如支付宝、微信、银行卡支付方式。</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2、扣费方式</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自助吹风机使用付费支持手机线上方式，如支付宝、微信、银行卡，但不得采用预充值等预先收取费用的方式。</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3、服务内容</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提供自助电吹风设备，并提供合约期间的维修、消毒、保洁、保养等服务。</w:t>
      </w:r>
    </w:p>
    <w:p>
      <w:pPr>
        <w:pStyle w:val="57"/>
        <w:spacing w:line="360" w:lineRule="auto"/>
        <w:ind w:firstLine="480"/>
        <w:rPr>
          <w:rStyle w:val="168"/>
          <w:rFonts w:ascii="宋体" w:hAnsi="宋体" w:eastAsia="宋体" w:cs="Times New Roman"/>
          <w:b/>
          <w:bCs/>
          <w:sz w:val="24"/>
          <w:szCs w:val="24"/>
          <w:lang w:val="zh-TW" w:eastAsia="zh-TW"/>
        </w:rPr>
      </w:pPr>
      <w:r>
        <w:rPr>
          <w:rStyle w:val="168"/>
          <w:rFonts w:hint="eastAsia" w:ascii="宋体" w:hAnsi="宋体" w:eastAsia="宋体" w:cs="Times New Roman"/>
          <w:sz w:val="24"/>
          <w:szCs w:val="24"/>
          <w:lang w:val="zh-TW" w:eastAsia="zh-TW"/>
        </w:rPr>
        <w:t>4、服务期限：</w:t>
      </w:r>
      <w:r>
        <w:rPr>
          <w:rStyle w:val="168"/>
          <w:rFonts w:hint="eastAsia" w:ascii="宋体" w:hAnsi="宋体" w:eastAsia="宋体" w:cs="Times New Roman"/>
          <w:b/>
          <w:bCs/>
          <w:sz w:val="24"/>
          <w:szCs w:val="24"/>
        </w:rPr>
        <w:t>3</w:t>
      </w:r>
      <w:r>
        <w:rPr>
          <w:rStyle w:val="168"/>
          <w:rFonts w:hint="eastAsia" w:ascii="宋体" w:hAnsi="宋体" w:eastAsia="宋体" w:cs="Times New Roman"/>
          <w:b/>
          <w:bCs/>
          <w:sz w:val="24"/>
          <w:szCs w:val="24"/>
          <w:lang w:val="zh-TW" w:eastAsia="zh-TW"/>
        </w:rPr>
        <w:t>年</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5、有关要求</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1、项目要求：</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（1）乙方须根据学生宿舍场地条件等提供设备选型、配置、价格及安装施工方案，对电吹风安装进行专业设计，设计方案报甲方审批。</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★（2）单台吹风机功率1300w-1600w</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★（3）具备热风/冷风功能选择</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★（4）具备高风/低风的功能选择</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★（5）投标人所投自助式吹风机系统具备使用计时等提示</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★（6）全新电吹风必须提供国家强制性3C认证，设备采用装有配温控器、保险丝等，具备高温断电功能的正规合格智能电吹风机。</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★（7）自助吹风机不得采用预充值等预先收取费用的方式。</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（8）乙方至少指派一名项目负责人，专职负责管理</w:t>
      </w:r>
      <w:r>
        <w:rPr>
          <w:rStyle w:val="168"/>
          <w:rFonts w:hint="eastAsia" w:ascii="宋体" w:hAnsi="宋体" w:eastAsia="宋体" w:cs="Times New Roman"/>
          <w:sz w:val="24"/>
          <w:szCs w:val="24"/>
        </w:rPr>
        <w:t>盐城工业职业技术学院</w:t>
      </w:r>
      <w:r>
        <w:rPr>
          <w:rStyle w:val="168"/>
          <w:rFonts w:hint="eastAsia" w:ascii="宋体" w:hAnsi="宋体" w:eastAsia="宋体" w:cs="Times New Roman"/>
          <w:sz w:val="24"/>
          <w:szCs w:val="24"/>
          <w:lang w:val="zh-TW" w:eastAsia="zh-TW"/>
        </w:rPr>
        <w:t>学生宿舍自助</w:t>
      </w:r>
      <w:bookmarkStart w:id="145" w:name="_Hlk535414416"/>
      <w:r>
        <w:rPr>
          <w:rStyle w:val="168"/>
          <w:rFonts w:hint="eastAsia" w:ascii="宋体" w:hAnsi="宋体" w:eastAsia="宋体" w:cs="Times New Roman"/>
          <w:sz w:val="24"/>
          <w:szCs w:val="24"/>
          <w:lang w:val="zh-TW" w:eastAsia="zh-TW"/>
        </w:rPr>
        <w:t>电吹风系统</w:t>
      </w:r>
      <w:bookmarkEnd w:id="145"/>
      <w:r>
        <w:rPr>
          <w:rStyle w:val="168"/>
          <w:rFonts w:hint="eastAsia" w:ascii="宋体" w:hAnsi="宋体" w:eastAsia="宋体" w:cs="Times New Roman"/>
          <w:sz w:val="24"/>
          <w:szCs w:val="24"/>
          <w:lang w:val="zh-TW" w:eastAsia="zh-TW"/>
        </w:rPr>
        <w:t>，必须保证良好的售后服务，定期消毒、及时维修，并详细记录。</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（9）乙方负责自助电吹风系统设备的安装、调试、保养及维修，此部分费用乙方自行承担。</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（10）乙方负责自助电吹风系统设备、材料、建设等包括但不仅限于资金、人员的全部投入。</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（11）乙方负责施工及设备使用的一切安全，并承担施工费用及由于设备本身安全、质量问题造成的一切后果。</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（12）电吹风须安装在学生宿舍楼内固定位置，在服务期内乙方须免费提供系统的所有维护、维修、更换工作，包括但不限于原材料和人工费用。</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13）在服务期内，乙方要服从学校的监督管理和考核。乙方工作人员在学校工作期间，必须遵守学校有关管理制度和规定。合同期内，中标人必须接受招标人对服务质量、卫生状况、收费价格等方面的监督、管理和考核，测评不合格的、将作为一票否决，学校有权立即终止合同，经营户承担由</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（14）学校有权根据学生需求要求乙方随时增加设备及其他合理化要求，相关费用由乙方承担。</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（15）乙方需在每栋楼</w:t>
      </w:r>
      <w:r>
        <w:rPr>
          <w:rStyle w:val="168"/>
          <w:rFonts w:hint="eastAsia" w:ascii="宋体" w:hAnsi="宋体" w:eastAsia="宋体" w:cs="Times New Roman"/>
          <w:sz w:val="24"/>
          <w:szCs w:val="24"/>
          <w:lang w:val="en-US" w:eastAsia="zh-CN"/>
        </w:rPr>
        <w:t>每</w:t>
      </w:r>
      <w:r>
        <w:rPr>
          <w:rStyle w:val="168"/>
          <w:rFonts w:hint="eastAsia" w:ascii="宋体" w:hAnsi="宋体" w:eastAsia="宋体" w:cs="Times New Roman"/>
          <w:sz w:val="24"/>
          <w:szCs w:val="24"/>
          <w:lang w:val="zh-TW" w:eastAsia="zh-TW"/>
        </w:rPr>
        <w:t>一层指定位置取电，并安装一块智能电表，管理每栋楼电吹风的用电情况，安装电表的费用及产生的电费由乙方缴纳。</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（16）乙方电吹风系统软件必须接受校方的监管，并未经校方同意不得发放广告及信息。</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17）乙方不得对公寓自助电吹风经营权进行转让、转包、转租、分包、分租，如出现违法或违规经营，招标方有权终止合同，一切损失由乙方承担。乙方不得随意更改价格。消费价格、使用规程及维修电话上墙公示。</w:t>
      </w:r>
    </w:p>
    <w:p>
      <w:pPr>
        <w:pStyle w:val="57"/>
        <w:spacing w:line="360" w:lineRule="auto"/>
        <w:ind w:firstLine="480" w:firstLineChars="20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(18)</w:t>
      </w:r>
      <w:r>
        <w:rPr>
          <w:rStyle w:val="168"/>
          <w:rFonts w:hint="eastAsia" w:ascii="宋体" w:hAnsi="宋体" w:eastAsia="宋体" w:cs="Times New Roman"/>
          <w:sz w:val="24"/>
          <w:szCs w:val="24"/>
          <w:lang w:val="en-US" w:eastAsia="zh-CN"/>
        </w:rPr>
        <w:t xml:space="preserve"> </w:t>
      </w:r>
      <w:r>
        <w:rPr>
          <w:rStyle w:val="168"/>
          <w:rFonts w:hint="eastAsia" w:ascii="宋体" w:hAnsi="宋体" w:eastAsia="宋体" w:cs="Times New Roman"/>
          <w:sz w:val="24"/>
          <w:szCs w:val="24"/>
          <w:lang w:val="zh-TW" w:eastAsia="zh-TW"/>
        </w:rPr>
        <w:t>在服务期内，乙方拥有所投资的自助电吹风系统的产权，合同终止自行运回，不得占用学校任何场地。</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★2、在接到投诉和报修电话贰小时内有专业维修人员到现场维修，当天无法修复时应立即提供备用机，确保学生使用。疫情防控期间按照政府相关要求执行。</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3、运营管理要求</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color w:val="000000" w:themeColor="text1"/>
          <w:sz w:val="24"/>
          <w:szCs w:val="24"/>
          <w:lang w:val="zh-TW" w:eastAsia="zh-TW"/>
          <w14:textFill>
            <w14:solidFill>
              <w14:schemeClr w14:val="tx1"/>
            </w14:solidFill>
          </w14:textFill>
        </w:rPr>
        <w:t>（1）履约保证金：</w:t>
      </w:r>
      <w:r>
        <w:rPr>
          <w:rStyle w:val="168"/>
          <w:rFonts w:hint="eastAsia" w:ascii="宋体" w:hAnsi="宋体" w:eastAsia="宋体" w:cs="Times New Roman"/>
          <w:color w:val="000000" w:themeColor="text1"/>
          <w:sz w:val="24"/>
          <w:szCs w:val="24"/>
          <w:lang w:val="en-US" w:eastAsia="zh-CN"/>
          <w14:textFill>
            <w14:solidFill>
              <w14:schemeClr w14:val="tx1"/>
            </w14:solidFill>
          </w14:textFill>
        </w:rPr>
        <w:t>叁</w:t>
      </w:r>
      <w:r>
        <w:rPr>
          <w:rStyle w:val="168"/>
          <w:rFonts w:hint="eastAsia" w:ascii="宋体" w:hAnsi="宋体" w:eastAsia="宋体" w:cs="Times New Roman"/>
          <w:color w:val="000000" w:themeColor="text1"/>
          <w:sz w:val="24"/>
          <w:szCs w:val="24"/>
          <w:lang w:val="zh-TW" w:eastAsia="zh-TW"/>
          <w14:textFill>
            <w14:solidFill>
              <w14:schemeClr w14:val="tx1"/>
            </w14:solidFill>
          </w14:textFill>
        </w:rPr>
        <w:t>万元。中标人</w:t>
      </w:r>
      <w:r>
        <w:rPr>
          <w:rStyle w:val="168"/>
          <w:rFonts w:hint="eastAsia" w:ascii="宋体" w:hAnsi="宋体" w:eastAsia="宋体" w:cs="Times New Roman"/>
          <w:sz w:val="24"/>
          <w:szCs w:val="24"/>
          <w:lang w:val="zh-TW" w:eastAsia="zh-TW"/>
        </w:rPr>
        <w:t>在签订合同前须交纳履约保证金。合同到期，若无违规、违约行为，甲方单位将给予无息退还履约保证金。</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★（2）</w:t>
      </w:r>
      <w:r>
        <w:rPr>
          <w:rStyle w:val="168"/>
          <w:rFonts w:hint="eastAsia" w:ascii="宋体" w:hAnsi="宋体" w:eastAsia="宋体" w:cs="Times New Roman"/>
          <w:sz w:val="24"/>
          <w:szCs w:val="24"/>
          <w:lang w:val="en-US" w:eastAsia="zh-CN"/>
        </w:rPr>
        <w:t>按季度</w:t>
      </w:r>
      <w:r>
        <w:rPr>
          <w:rStyle w:val="168"/>
          <w:rFonts w:hint="eastAsia" w:ascii="宋体" w:hAnsi="宋体" w:eastAsia="宋体" w:cs="Times New Roman"/>
          <w:sz w:val="24"/>
          <w:szCs w:val="24"/>
          <w:lang w:val="zh-TW" w:eastAsia="zh-TW"/>
        </w:rPr>
        <w:t>收取电费，据实结算。电费由中标单位全额承担(收费标准为0.</w:t>
      </w:r>
      <w:r>
        <w:rPr>
          <w:rStyle w:val="168"/>
          <w:rFonts w:hint="eastAsia" w:ascii="宋体" w:hAnsi="宋体" w:eastAsia="宋体" w:cs="Times New Roman"/>
          <w:sz w:val="24"/>
          <w:szCs w:val="24"/>
          <w:lang w:val="en-US" w:eastAsia="zh-CN"/>
        </w:rPr>
        <w:t>5383</w:t>
      </w:r>
      <w:r>
        <w:rPr>
          <w:rStyle w:val="168"/>
          <w:rFonts w:hint="eastAsia" w:ascii="宋体" w:hAnsi="宋体" w:eastAsia="宋体" w:cs="Times New Roman"/>
          <w:sz w:val="24"/>
          <w:szCs w:val="24"/>
          <w:lang w:val="zh-TW" w:eastAsia="zh-TW"/>
        </w:rPr>
        <w:t>元/度)。</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w:t>
      </w:r>
      <w:r>
        <w:rPr>
          <w:rStyle w:val="168"/>
          <w:rFonts w:hint="eastAsia" w:ascii="宋体" w:hAnsi="宋体" w:eastAsia="宋体" w:cs="Times New Roman"/>
          <w:sz w:val="24"/>
          <w:szCs w:val="24"/>
          <w:lang w:val="en-US" w:eastAsia="zh-CN"/>
        </w:rPr>
        <w:t>3</w:t>
      </w:r>
      <w:r>
        <w:rPr>
          <w:rStyle w:val="168"/>
          <w:rFonts w:hint="eastAsia" w:ascii="宋体" w:hAnsi="宋体" w:eastAsia="宋体" w:cs="Times New Roman"/>
          <w:sz w:val="24"/>
          <w:szCs w:val="24"/>
          <w:lang w:val="zh-TW" w:eastAsia="zh-TW"/>
        </w:rPr>
        <w:t>）项目合同到期后，如不再继续新的合同，限期在合同结束后7日内撤除所有设备，如果过期不拆除，则学校将作为中标商遗留的废弃物处理。</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w:t>
      </w:r>
      <w:r>
        <w:rPr>
          <w:rStyle w:val="168"/>
          <w:rFonts w:hint="eastAsia" w:ascii="宋体" w:hAnsi="宋体" w:eastAsia="宋体" w:cs="Times New Roman"/>
          <w:sz w:val="24"/>
          <w:szCs w:val="24"/>
          <w:lang w:val="en-US" w:eastAsia="zh-CN"/>
        </w:rPr>
        <w:t>4</w:t>
      </w:r>
      <w:r>
        <w:rPr>
          <w:rStyle w:val="168"/>
          <w:rFonts w:hint="eastAsia" w:ascii="宋体" w:hAnsi="宋体" w:eastAsia="宋体" w:cs="Times New Roman"/>
          <w:sz w:val="24"/>
          <w:szCs w:val="24"/>
          <w:lang w:val="zh-TW" w:eastAsia="zh-TW"/>
        </w:rPr>
        <w:t>）协议运营年限：服务期限为</w:t>
      </w:r>
      <w:r>
        <w:rPr>
          <w:rStyle w:val="168"/>
          <w:rFonts w:hint="eastAsia" w:ascii="宋体" w:hAnsi="宋体" w:eastAsia="宋体" w:cs="Times New Roman"/>
          <w:sz w:val="24"/>
          <w:szCs w:val="24"/>
        </w:rPr>
        <w:t>三</w:t>
      </w:r>
      <w:r>
        <w:rPr>
          <w:rStyle w:val="168"/>
          <w:rFonts w:hint="eastAsia" w:ascii="宋体" w:hAnsi="宋体" w:eastAsia="宋体" w:cs="Times New Roman"/>
          <w:sz w:val="24"/>
          <w:szCs w:val="24"/>
          <w:lang w:val="zh-TW" w:eastAsia="zh-TW"/>
        </w:rPr>
        <w:t>年，从合同签订之日起计算。</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4、运营安全要求</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在乙方管理、运营期间，若发生卫生、防疫、安全等事故，所有责任均由乙方承担。</w:t>
      </w:r>
    </w:p>
    <w:p>
      <w:pPr>
        <w:pStyle w:val="57"/>
        <w:spacing w:line="360" w:lineRule="auto"/>
        <w:ind w:firstLine="480"/>
        <w:rPr>
          <w:rStyle w:val="168"/>
          <w:rFonts w:ascii="宋体" w:hAnsi="宋体" w:eastAsia="宋体" w:cs="Times New Roman"/>
          <w:sz w:val="24"/>
          <w:szCs w:val="24"/>
          <w:lang w:val="zh-TW" w:eastAsia="zh-TW"/>
        </w:rPr>
      </w:pPr>
      <w:r>
        <w:rPr>
          <w:rStyle w:val="168"/>
          <w:rFonts w:hint="eastAsia" w:ascii="宋体" w:hAnsi="宋体" w:eastAsia="宋体" w:cs="Times New Roman"/>
          <w:sz w:val="24"/>
          <w:szCs w:val="24"/>
          <w:lang w:val="zh-TW" w:eastAsia="zh-TW"/>
        </w:rPr>
        <w:t>★5、提高售后的及时性和安全保障，保证能24小时提供服务，具体服务时间按照师生实际要求执行；接到报修电话后需两小时内到现场；保障网络信息安全，不泄露个人信息，不做投放虚假、不良广告链接。</w:t>
      </w:r>
    </w:p>
    <w:p>
      <w:pPr>
        <w:pStyle w:val="40"/>
        <w:spacing w:line="360" w:lineRule="auto"/>
        <w:ind w:left="2250" w:hanging="1200"/>
        <w:rPr>
          <w:rStyle w:val="168"/>
          <w:rFonts w:ascii="宋体" w:hAnsi="宋体" w:eastAsia="宋体" w:cs="宋体"/>
          <w:shd w:val="clear" w:color="auto" w:fill="FFFF00"/>
        </w:rPr>
      </w:pPr>
    </w:p>
    <w:p>
      <w:pPr>
        <w:pStyle w:val="6"/>
        <w:rPr>
          <w:rStyle w:val="168"/>
          <w:rFonts w:ascii="宋体" w:hAnsi="宋体" w:cs="宋体"/>
          <w:shd w:val="clear" w:color="auto" w:fill="FFFF00"/>
        </w:rPr>
      </w:pPr>
    </w:p>
    <w:p>
      <w:pPr>
        <w:pStyle w:val="57"/>
        <w:rPr>
          <w:rStyle w:val="168"/>
          <w:rFonts w:ascii="宋体" w:hAnsi="宋体" w:eastAsia="宋体" w:cs="宋体"/>
          <w:shd w:val="clear" w:color="auto" w:fill="FFFF00"/>
        </w:rPr>
      </w:pPr>
    </w:p>
    <w:p>
      <w:pPr>
        <w:pStyle w:val="40"/>
        <w:rPr>
          <w:rStyle w:val="168"/>
          <w:rFonts w:ascii="宋体" w:hAnsi="宋体" w:eastAsia="宋体" w:cs="宋体"/>
          <w:shd w:val="clear" w:color="auto" w:fill="FFFF00"/>
        </w:rPr>
      </w:pPr>
    </w:p>
    <w:p>
      <w:pPr>
        <w:pStyle w:val="6"/>
        <w:rPr>
          <w:rStyle w:val="168"/>
          <w:rFonts w:ascii="宋体" w:hAnsi="宋体" w:cs="宋体"/>
          <w:shd w:val="clear" w:color="auto" w:fill="FFFF00"/>
        </w:rPr>
      </w:pPr>
    </w:p>
    <w:p>
      <w:pPr>
        <w:pStyle w:val="57"/>
        <w:rPr>
          <w:rStyle w:val="168"/>
          <w:rFonts w:ascii="宋体" w:hAnsi="宋体" w:eastAsia="宋体" w:cs="宋体"/>
          <w:shd w:val="clear" w:color="auto" w:fill="FFFF00"/>
        </w:rPr>
      </w:pPr>
    </w:p>
    <w:p>
      <w:pPr>
        <w:pStyle w:val="40"/>
        <w:rPr>
          <w:rStyle w:val="168"/>
          <w:rFonts w:ascii="宋体" w:hAnsi="宋体" w:eastAsia="宋体" w:cs="宋体"/>
          <w:shd w:val="clear" w:color="auto" w:fill="FFFF00"/>
        </w:rPr>
      </w:pPr>
    </w:p>
    <w:p>
      <w:pPr>
        <w:pStyle w:val="6"/>
        <w:rPr>
          <w:rStyle w:val="168"/>
          <w:rFonts w:ascii="宋体" w:hAnsi="宋体" w:cs="宋体"/>
          <w:shd w:val="clear" w:color="auto" w:fill="FFFF00"/>
        </w:rPr>
      </w:pPr>
    </w:p>
    <w:p>
      <w:pPr>
        <w:pStyle w:val="57"/>
        <w:rPr>
          <w:rStyle w:val="168"/>
          <w:rFonts w:ascii="宋体" w:hAnsi="宋体" w:eastAsia="宋体" w:cs="宋体"/>
          <w:shd w:val="clear" w:color="auto" w:fill="FFFF00"/>
        </w:rPr>
      </w:pPr>
    </w:p>
    <w:p>
      <w:pPr>
        <w:pStyle w:val="40"/>
        <w:rPr>
          <w:rStyle w:val="168"/>
          <w:rFonts w:ascii="宋体" w:hAnsi="宋体" w:eastAsia="宋体" w:cs="宋体"/>
          <w:shd w:val="clear" w:color="auto" w:fill="FFFF00"/>
        </w:rPr>
      </w:pPr>
    </w:p>
    <w:p>
      <w:pPr>
        <w:pStyle w:val="6"/>
        <w:rPr>
          <w:rStyle w:val="168"/>
          <w:rFonts w:ascii="宋体" w:hAnsi="宋体" w:cs="宋体"/>
          <w:shd w:val="clear" w:color="auto" w:fill="FFFF00"/>
        </w:rPr>
      </w:pPr>
    </w:p>
    <w:p>
      <w:pPr>
        <w:pStyle w:val="57"/>
        <w:rPr>
          <w:rStyle w:val="168"/>
          <w:rFonts w:ascii="宋体" w:hAnsi="宋体" w:eastAsia="宋体" w:cs="宋体"/>
          <w:shd w:val="clear" w:color="auto" w:fill="FFFF00"/>
        </w:rPr>
      </w:pPr>
    </w:p>
    <w:p>
      <w:pPr>
        <w:pStyle w:val="40"/>
        <w:rPr>
          <w:rStyle w:val="168"/>
          <w:rFonts w:ascii="宋体" w:hAnsi="宋体" w:eastAsia="宋体" w:cs="宋体"/>
          <w:shd w:val="clear" w:color="auto" w:fill="FFFF00"/>
        </w:rPr>
      </w:pPr>
    </w:p>
    <w:p>
      <w:pPr>
        <w:pStyle w:val="6"/>
        <w:rPr>
          <w:rStyle w:val="168"/>
          <w:rFonts w:ascii="宋体" w:hAnsi="宋体" w:cs="宋体"/>
          <w:shd w:val="clear" w:color="auto" w:fill="FFFF00"/>
        </w:rPr>
      </w:pPr>
    </w:p>
    <w:p>
      <w:pPr>
        <w:pStyle w:val="57"/>
        <w:rPr>
          <w:rStyle w:val="168"/>
          <w:rFonts w:ascii="宋体" w:hAnsi="宋体" w:eastAsia="宋体" w:cs="宋体"/>
          <w:shd w:val="clear" w:color="auto" w:fill="FFFF00"/>
        </w:rPr>
      </w:pPr>
    </w:p>
    <w:p>
      <w:pPr>
        <w:pStyle w:val="40"/>
        <w:rPr>
          <w:rStyle w:val="168"/>
          <w:rFonts w:ascii="宋体" w:hAnsi="宋体" w:eastAsia="宋体" w:cs="宋体"/>
          <w:shd w:val="clear" w:color="auto" w:fill="FFFF00"/>
        </w:rPr>
      </w:pPr>
    </w:p>
    <w:p>
      <w:pPr>
        <w:pStyle w:val="6"/>
      </w:pPr>
    </w:p>
    <w:p>
      <w:pPr>
        <w:jc w:val="center"/>
        <w:outlineLvl w:val="0"/>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第五章 定标原则和评审标准</w:t>
      </w:r>
      <w:bookmarkEnd w:id="141"/>
    </w:p>
    <w:p>
      <w:pPr>
        <w:pStyle w:val="107"/>
        <w:spacing w:before="0" w:after="0" w:line="480" w:lineRule="exact"/>
        <w:ind w:firstLine="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一、磋商小组</w:t>
      </w:r>
    </w:p>
    <w:p>
      <w:pPr>
        <w:pStyle w:val="107"/>
        <w:spacing w:before="0" w:after="0" w:line="480" w:lineRule="exact"/>
        <w:ind w:firstLineChars="20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本采购项目磋商小组的评委由相关的专家、采购人代表等有关人员构成。</w:t>
      </w:r>
    </w:p>
    <w:p>
      <w:pPr>
        <w:pStyle w:val="107"/>
        <w:spacing w:before="0" w:after="0" w:line="480" w:lineRule="exact"/>
        <w:ind w:firstLine="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二、定标原则</w:t>
      </w:r>
    </w:p>
    <w:p>
      <w:pPr>
        <w:pStyle w:val="107"/>
        <w:spacing w:before="0" w:after="0" w:line="480" w:lineRule="exact"/>
        <w:ind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pPr>
        <w:tabs>
          <w:tab w:val="left" w:pos="900"/>
        </w:tabs>
        <w:spacing w:line="480" w:lineRule="exact"/>
        <w:ind w:firstLine="477" w:firstLineChars="199"/>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是指响应文件满足磋商文件全部实质性要求，磋商小组按评审因素的量化指标评审，根据总得分高低排列各投标人次序（评审得分相同的，按照最后报价优惠程度由高到低的顺序推荐。评审得分且最后报价相同的，按照技术指标优劣顺序推荐），推荐不多于三名供应商为中标候选人</w:t>
      </w:r>
      <w:r>
        <w:rPr>
          <w:rFonts w:hint="eastAsia" w:ascii="宋体" w:hAnsi="宋体" w:cs="宋体"/>
          <w:color w:val="000000" w:themeColor="text1"/>
          <w:kern w:val="0"/>
          <w:sz w:val="24"/>
          <w14:textFill>
            <w14:solidFill>
              <w14:schemeClr w14:val="tx1"/>
            </w14:solidFill>
          </w14:textFill>
        </w:rPr>
        <w:t>。</w:t>
      </w:r>
    </w:p>
    <w:p>
      <w:pPr>
        <w:tabs>
          <w:tab w:val="left" w:pos="900"/>
        </w:tabs>
        <w:spacing w:line="480" w:lineRule="exact"/>
        <w:ind w:firstLine="477" w:firstLineChars="199"/>
        <w:rPr>
          <w:rFonts w:ascii="宋体" w:hAnsi="宋体" w:cs="宋体"/>
          <w:b/>
          <w:bCs/>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根据评标委员会提供的书面评标报告，依法确定排名第一的为中标人，排名第一的中标候选人放弃中标、因不可抗力不能履行合同、不按照招标文件要求提交履约保证金，或者被查实存在影响中标结果的违法行为等情形，不符合中标条件的，采购人可以确定排名第二中标候选人为中标人，也可重新招标。如果排名第二中标候选人放弃中标、因不可抗力不能履行合同、不按照招标文件要求提交履约保证金，或者被查实存在影响中标结果的违法行为等情形不符合中标条件的，采购人可以确定排名第三的中标候选人为中标人，也可重新招标。</w:t>
      </w:r>
    </w:p>
    <w:p>
      <w:pPr>
        <w:pStyle w:val="107"/>
        <w:spacing w:before="0" w:after="0" w:line="480" w:lineRule="exact"/>
        <w:ind w:firstLine="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三、政府采购政策功能落实</w:t>
      </w:r>
    </w:p>
    <w:p>
      <w:pPr>
        <w:tabs>
          <w:tab w:val="left" w:pos="900"/>
        </w:tabs>
        <w:spacing w:line="480" w:lineRule="exact"/>
        <w:ind w:firstLine="477" w:firstLineChars="199"/>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1、因本项目为专门面向中小企业采购的项目，不再执行价格评审优惠的扶持政策，投标人必须属于中小微企业，提供中小微企业声明函，否则作为无效标处理。</w:t>
      </w:r>
    </w:p>
    <w:p>
      <w:pPr>
        <w:tabs>
          <w:tab w:val="left" w:pos="900"/>
        </w:tabs>
        <w:spacing w:line="480" w:lineRule="exact"/>
        <w:ind w:firstLine="477" w:firstLineChars="199"/>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b/>
          <w:bCs/>
          <w:color w:val="000000" w:themeColor="text1"/>
          <w:kern w:val="0"/>
          <w:sz w:val="24"/>
          <w14:textFill>
            <w14:solidFill>
              <w14:schemeClr w14:val="tx1"/>
            </w14:solidFill>
          </w14:textFill>
        </w:rPr>
        <w:t>采购标的的所属行业为其他未列明行业 ，根据</w:t>
      </w:r>
      <w:r>
        <w:rPr>
          <w:rFonts w:hint="eastAsia" w:ascii="宋体" w:hAnsi="宋体"/>
          <w:b/>
          <w:bCs/>
          <w:color w:val="000000" w:themeColor="text1"/>
          <w:sz w:val="24"/>
          <w14:textFill>
            <w14:solidFill>
              <w14:schemeClr w14:val="tx1"/>
            </w14:solidFill>
          </w14:textFill>
        </w:rPr>
        <w:t>《关于印发中小企业划型标准规定的通知》（工信部联企业[2011]300号）文件规定及国家统计局关于印发《统计上大中小微型企业划分办法（2017）》</w:t>
      </w:r>
      <w:r>
        <w:rPr>
          <w:rFonts w:hint="eastAsia" w:ascii="宋体" w:hAnsi="宋体" w:cs="宋体"/>
          <w:b/>
          <w:bCs/>
          <w:color w:val="000000" w:themeColor="text1"/>
          <w:kern w:val="0"/>
          <w:sz w:val="24"/>
          <w14:textFill>
            <w14:solidFill>
              <w14:schemeClr w14:val="tx1"/>
            </w14:solidFill>
          </w14:textFill>
        </w:rPr>
        <w:t>规定的划分标准填写；</w:t>
      </w:r>
    </w:p>
    <w:p>
      <w:pPr>
        <w:pStyle w:val="107"/>
        <w:spacing w:before="0" w:after="0" w:line="480" w:lineRule="exact"/>
        <w:ind w:firstLine="0"/>
        <w:rPr>
          <w:rFonts w:ascii="宋体" w:hAnsi="宋体" w:eastAsia="宋体" w:cs="宋体"/>
          <w:b/>
          <w:bCs/>
          <w:color w:val="000000" w:themeColor="text1"/>
          <w14:textFill>
            <w14:solidFill>
              <w14:schemeClr w14:val="tx1"/>
            </w14:solidFill>
          </w14:textFill>
        </w:rPr>
      </w:pPr>
    </w:p>
    <w:p>
      <w:pPr>
        <w:pStyle w:val="107"/>
        <w:spacing w:before="0" w:after="0" w:line="480" w:lineRule="exact"/>
        <w:ind w:firstLine="0"/>
        <w:rPr>
          <w:rFonts w:ascii="宋体" w:hAnsi="宋体" w:eastAsia="宋体" w:cs="宋体"/>
          <w:b/>
          <w:bCs/>
          <w:color w:val="000000" w:themeColor="text1"/>
          <w14:textFill>
            <w14:solidFill>
              <w14:schemeClr w14:val="tx1"/>
            </w14:solidFill>
          </w14:textFill>
        </w:rPr>
      </w:pPr>
    </w:p>
    <w:p>
      <w:pPr>
        <w:pStyle w:val="107"/>
        <w:spacing w:before="0" w:after="0" w:line="480" w:lineRule="exact"/>
        <w:ind w:firstLine="0"/>
        <w:rPr>
          <w:rFonts w:ascii="宋体" w:hAnsi="宋体" w:eastAsia="宋体" w:cs="宋体"/>
          <w:b/>
          <w:bCs/>
          <w:color w:val="000000" w:themeColor="text1"/>
          <w14:textFill>
            <w14:solidFill>
              <w14:schemeClr w14:val="tx1"/>
            </w14:solidFill>
          </w14:textFill>
        </w:rPr>
      </w:pPr>
    </w:p>
    <w:p>
      <w:pPr>
        <w:pStyle w:val="107"/>
        <w:spacing w:before="0" w:after="0" w:line="480" w:lineRule="exact"/>
        <w:ind w:firstLine="0"/>
        <w:rPr>
          <w:rFonts w:ascii="宋体" w:hAnsi="宋体" w:eastAsia="宋体" w:cs="宋体"/>
          <w:b/>
          <w:bCs/>
          <w:color w:val="000000" w:themeColor="text1"/>
          <w14:textFill>
            <w14:solidFill>
              <w14:schemeClr w14:val="tx1"/>
            </w14:solidFill>
          </w14:textFill>
        </w:rPr>
      </w:pPr>
    </w:p>
    <w:p>
      <w:pPr>
        <w:pStyle w:val="107"/>
        <w:spacing w:before="0" w:after="0" w:line="480" w:lineRule="exact"/>
        <w:ind w:firstLine="0"/>
        <w:rPr>
          <w:rFonts w:ascii="宋体" w:hAnsi="宋体" w:eastAsia="宋体" w:cs="宋体"/>
          <w:b/>
          <w:bCs/>
          <w:color w:val="000000" w:themeColor="text1"/>
          <w14:textFill>
            <w14:solidFill>
              <w14:schemeClr w14:val="tx1"/>
            </w14:solidFill>
          </w14:textFill>
        </w:rPr>
      </w:pPr>
    </w:p>
    <w:p>
      <w:pPr>
        <w:pStyle w:val="107"/>
        <w:spacing w:before="0" w:after="0" w:line="480" w:lineRule="exact"/>
        <w:ind w:firstLine="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四、评标标准</w:t>
      </w:r>
    </w:p>
    <w:p>
      <w:pPr>
        <w:pStyle w:val="107"/>
        <w:spacing w:before="0" w:after="0" w:line="480" w:lineRule="exact"/>
        <w:ind w:firstLine="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本项目评分总分值为100分。</w:t>
      </w:r>
    </w:p>
    <w:tbl>
      <w:tblPr>
        <w:tblStyle w:val="4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90"/>
        <w:gridCol w:w="5756"/>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29" w:type="dxa"/>
            <w:vAlign w:val="center"/>
          </w:tcPr>
          <w:p>
            <w:pPr>
              <w:jc w:val="center"/>
              <w:rPr>
                <w:rFonts w:ascii="宋体" w:hAnsi="宋体" w:cs="宋体"/>
                <w:b/>
                <w:bCs/>
                <w:szCs w:val="21"/>
              </w:rPr>
            </w:pPr>
            <w:r>
              <w:rPr>
                <w:rFonts w:hint="eastAsia" w:ascii="宋体" w:hAnsi="宋体" w:cs="宋体"/>
                <w:b/>
                <w:bCs/>
                <w:szCs w:val="21"/>
              </w:rPr>
              <w:t>评分因素</w:t>
            </w:r>
          </w:p>
        </w:tc>
        <w:tc>
          <w:tcPr>
            <w:tcW w:w="1190" w:type="dxa"/>
            <w:vAlign w:val="center"/>
          </w:tcPr>
          <w:p>
            <w:pPr>
              <w:jc w:val="center"/>
              <w:rPr>
                <w:rFonts w:ascii="宋体" w:hAnsi="宋体" w:cs="宋体"/>
                <w:b/>
                <w:bCs/>
                <w:szCs w:val="21"/>
              </w:rPr>
            </w:pPr>
            <w:r>
              <w:rPr>
                <w:rFonts w:hint="eastAsia" w:ascii="宋体" w:hAnsi="宋体" w:cs="宋体"/>
                <w:b/>
                <w:bCs/>
                <w:szCs w:val="21"/>
              </w:rPr>
              <w:t>评分内容</w:t>
            </w:r>
          </w:p>
        </w:tc>
        <w:tc>
          <w:tcPr>
            <w:tcW w:w="5756" w:type="dxa"/>
            <w:vAlign w:val="center"/>
          </w:tcPr>
          <w:p>
            <w:pPr>
              <w:jc w:val="center"/>
              <w:rPr>
                <w:rFonts w:ascii="宋体" w:hAnsi="宋体" w:cs="宋体"/>
                <w:b/>
                <w:bCs/>
                <w:szCs w:val="21"/>
                <w:lang w:bidi="zh-CN"/>
              </w:rPr>
            </w:pPr>
            <w:r>
              <w:rPr>
                <w:rFonts w:hint="eastAsia" w:ascii="宋体" w:hAnsi="宋体" w:cs="宋体"/>
                <w:b/>
                <w:bCs/>
                <w:szCs w:val="21"/>
                <w:lang w:bidi="zh-CN"/>
              </w:rPr>
              <w:t>评分标准</w:t>
            </w:r>
          </w:p>
        </w:tc>
        <w:tc>
          <w:tcPr>
            <w:tcW w:w="856" w:type="dxa"/>
            <w:vAlign w:val="center"/>
          </w:tcPr>
          <w:p>
            <w:pPr>
              <w:jc w:val="center"/>
              <w:rPr>
                <w:rFonts w:ascii="宋体" w:hAnsi="宋体" w:cs="宋体"/>
                <w:b/>
                <w:bCs/>
                <w:szCs w:val="21"/>
                <w:lang w:bidi="zh-CN"/>
              </w:rPr>
            </w:pPr>
            <w:r>
              <w:rPr>
                <w:rFonts w:hint="eastAsia" w:ascii="宋体" w:hAnsi="宋体" w:cs="宋体"/>
                <w:b/>
                <w:bCs/>
                <w:szCs w:val="21"/>
                <w:lang w:bidi="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9" w:type="dxa"/>
            <w:vAlign w:val="center"/>
          </w:tcPr>
          <w:p>
            <w:pPr>
              <w:spacing w:line="288" w:lineRule="auto"/>
              <w:jc w:val="center"/>
              <w:rPr>
                <w:rFonts w:ascii="宋体" w:hAnsi="宋体" w:cs="宋体"/>
                <w:szCs w:val="21"/>
              </w:rPr>
            </w:pPr>
            <w:r>
              <w:rPr>
                <w:rFonts w:hint="eastAsia" w:ascii="宋体" w:hAnsi="宋体" w:cs="宋体"/>
                <w:szCs w:val="21"/>
              </w:rPr>
              <w:t>报价</w:t>
            </w:r>
          </w:p>
          <w:p>
            <w:pPr>
              <w:spacing w:line="288" w:lineRule="auto"/>
              <w:jc w:val="center"/>
              <w:rPr>
                <w:rFonts w:ascii="宋体" w:hAnsi="宋体" w:cs="宋体"/>
                <w:szCs w:val="21"/>
              </w:rPr>
            </w:pPr>
            <w:r>
              <w:rPr>
                <w:rFonts w:hint="eastAsia" w:ascii="宋体" w:hAnsi="宋体" w:cs="宋体"/>
                <w:szCs w:val="21"/>
              </w:rPr>
              <w:t>（30分）</w:t>
            </w:r>
          </w:p>
        </w:tc>
        <w:tc>
          <w:tcPr>
            <w:tcW w:w="1190" w:type="dxa"/>
            <w:vAlign w:val="center"/>
          </w:tcPr>
          <w:p>
            <w:pPr>
              <w:spacing w:line="288" w:lineRule="auto"/>
              <w:jc w:val="center"/>
              <w:rPr>
                <w:rFonts w:ascii="宋体" w:hAnsi="宋体" w:cs="宋体"/>
                <w:szCs w:val="21"/>
              </w:rPr>
            </w:pPr>
            <w:r>
              <w:rPr>
                <w:rFonts w:hint="eastAsia" w:ascii="宋体" w:hAnsi="宋体" w:cs="宋体"/>
                <w:szCs w:val="21"/>
              </w:rPr>
              <w:t>投标报价</w:t>
            </w:r>
          </w:p>
        </w:tc>
        <w:tc>
          <w:tcPr>
            <w:tcW w:w="5756" w:type="dxa"/>
            <w:vAlign w:val="center"/>
          </w:tcPr>
          <w:p>
            <w:pPr>
              <w:pStyle w:val="6"/>
              <w:spacing w:after="0" w:line="360" w:lineRule="auto"/>
              <w:ind w:firstLine="422" w:firstLineChars="200"/>
              <w:rPr>
                <w:rFonts w:ascii="宋体" w:hAnsi="宋体"/>
                <w:b/>
                <w:lang w:val="zh-TW"/>
              </w:rPr>
            </w:pPr>
            <w:r>
              <w:rPr>
                <w:rFonts w:hint="eastAsia" w:ascii="宋体" w:hAnsi="宋体"/>
                <w:b/>
                <w:lang w:val="zh-TW"/>
              </w:rPr>
              <w:t>使用</w:t>
            </w:r>
            <w:r>
              <w:rPr>
                <w:rFonts w:hint="eastAsia" w:ascii="宋体" w:hAnsi="宋体"/>
                <w:b/>
              </w:rPr>
              <w:t>每</w:t>
            </w:r>
            <w:r>
              <w:rPr>
                <w:rFonts w:ascii="宋体" w:hAnsi="宋体"/>
                <w:b/>
                <w:lang w:val="zh-TW"/>
              </w:rPr>
              <w:t>分钟最高限价：0.</w:t>
            </w:r>
            <w:r>
              <w:rPr>
                <w:rFonts w:hint="eastAsia" w:ascii="宋体" w:hAnsi="宋体"/>
                <w:b/>
                <w:lang w:val="zh-TW"/>
              </w:rPr>
              <w:t>25</w:t>
            </w:r>
            <w:r>
              <w:rPr>
                <w:rFonts w:ascii="宋体" w:hAnsi="宋体"/>
                <w:b/>
                <w:lang w:val="zh-TW"/>
              </w:rPr>
              <w:t>元（</w:t>
            </w:r>
            <w:r>
              <w:rPr>
                <w:rFonts w:hint="eastAsia" w:ascii="宋体" w:hAnsi="宋体"/>
                <w:b/>
              </w:rPr>
              <w:t>30</w:t>
            </w:r>
            <w:r>
              <w:rPr>
                <w:rFonts w:ascii="宋体" w:hAnsi="宋体"/>
                <w:b/>
                <w:lang w:val="zh-TW"/>
              </w:rPr>
              <w:t>分）</w:t>
            </w:r>
          </w:p>
          <w:p>
            <w:pPr>
              <w:spacing w:line="288" w:lineRule="auto"/>
              <w:rPr>
                <w:rFonts w:ascii="宋体" w:hAnsi="宋体" w:cs="宋体"/>
                <w:szCs w:val="21"/>
              </w:rPr>
            </w:pPr>
            <w:r>
              <w:rPr>
                <w:rStyle w:val="168"/>
                <w:rFonts w:hint="eastAsia" w:ascii="宋体" w:hAnsi="宋体"/>
                <w:kern w:val="0"/>
                <w:lang w:val="zh-TW" w:eastAsia="zh-TW"/>
              </w:rPr>
              <w:t>采用低价优先法计算，即满足招标文件要求且投标价格最低的投标报价为评标基准价，其价格分为满分。其他投标单位的</w:t>
            </w:r>
            <w:r>
              <w:rPr>
                <w:rStyle w:val="168"/>
                <w:rFonts w:hint="eastAsia" w:ascii="宋体" w:hAnsi="宋体"/>
                <w:color w:val="000000" w:themeColor="text1"/>
                <w:kern w:val="0"/>
                <w:lang w:val="zh-TW" w:eastAsia="zh-TW"/>
                <w14:textFill>
                  <w14:solidFill>
                    <w14:schemeClr w14:val="tx1"/>
                  </w14:solidFill>
                </w14:textFill>
              </w:rPr>
              <w:t>价格分统一按下列公式计算：</w:t>
            </w:r>
            <w:r>
              <w:rPr>
                <w:rStyle w:val="168"/>
                <w:rFonts w:hint="eastAsia" w:ascii="宋体" w:hAnsi="宋体"/>
                <w:b/>
                <w:bCs/>
                <w:color w:val="000000" w:themeColor="text1"/>
                <w:lang w:val="zh-TW" w:eastAsia="zh-TW"/>
                <w14:textFill>
                  <w14:solidFill>
                    <w14:schemeClr w14:val="tx1"/>
                  </w14:solidFill>
                </w14:textFill>
              </w:rPr>
              <w:t>投标报价得分=（评标基准价/投标报价）×每个分项的分值；计算结果保留至小数点后两位。</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vMerge w:val="restart"/>
            <w:vAlign w:val="center"/>
          </w:tcPr>
          <w:p>
            <w:pPr>
              <w:spacing w:line="288" w:lineRule="auto"/>
              <w:jc w:val="center"/>
              <w:rPr>
                <w:rFonts w:ascii="宋体" w:hAnsi="宋体" w:cs="宋体"/>
                <w:szCs w:val="21"/>
              </w:rPr>
            </w:pPr>
            <w:r>
              <w:rPr>
                <w:rFonts w:hint="eastAsia" w:ascii="宋体" w:hAnsi="宋体" w:cs="宋体"/>
                <w:szCs w:val="21"/>
              </w:rPr>
              <w:t>综合标（25分）</w:t>
            </w:r>
          </w:p>
        </w:tc>
        <w:tc>
          <w:tcPr>
            <w:tcW w:w="1190" w:type="dxa"/>
            <w:vMerge w:val="restart"/>
            <w:vAlign w:val="center"/>
          </w:tcPr>
          <w:p>
            <w:pPr>
              <w:spacing w:line="288" w:lineRule="auto"/>
              <w:jc w:val="center"/>
              <w:rPr>
                <w:rFonts w:ascii="宋体" w:hAnsi="宋体" w:cs="宋体"/>
                <w:szCs w:val="21"/>
              </w:rPr>
            </w:pPr>
            <w:r>
              <w:rPr>
                <w:rFonts w:hint="eastAsia" w:ascii="宋体" w:hAnsi="宋体" w:cs="宋体"/>
                <w:szCs w:val="21"/>
              </w:rPr>
              <w:t>企业实力</w:t>
            </w:r>
          </w:p>
        </w:tc>
        <w:tc>
          <w:tcPr>
            <w:tcW w:w="5756" w:type="dxa"/>
            <w:vAlign w:val="center"/>
          </w:tcPr>
          <w:p>
            <w:pPr>
              <w:spacing w:line="288" w:lineRule="auto"/>
              <w:rPr>
                <w:rFonts w:ascii="宋体" w:hAnsi="宋体" w:cs="宋体"/>
                <w:szCs w:val="21"/>
              </w:rPr>
            </w:pPr>
            <w:r>
              <w:rPr>
                <w:rFonts w:hint="eastAsia" w:ascii="宋体" w:hAnsi="宋体" w:cs="宋体"/>
                <w:szCs w:val="21"/>
              </w:rPr>
              <w:t>投标公司需同时通过ISO9001质量管理体系认证，ISO14001环境管理体系认证，OHSAS18001职业健康管理体系认证，每一项得1分，共计3分（提供相关复印件盖公章）；</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vMerge w:val="continue"/>
            <w:vAlign w:val="center"/>
          </w:tcPr>
          <w:p>
            <w:pPr>
              <w:spacing w:line="288" w:lineRule="auto"/>
              <w:jc w:val="center"/>
              <w:rPr>
                <w:rFonts w:ascii="宋体" w:hAnsi="宋体" w:cs="宋体"/>
                <w:szCs w:val="21"/>
              </w:rPr>
            </w:pPr>
          </w:p>
        </w:tc>
        <w:tc>
          <w:tcPr>
            <w:tcW w:w="1190" w:type="dxa"/>
            <w:vMerge w:val="continue"/>
            <w:vAlign w:val="center"/>
          </w:tcPr>
          <w:p>
            <w:pPr>
              <w:spacing w:line="288" w:lineRule="auto"/>
              <w:jc w:val="center"/>
              <w:rPr>
                <w:rFonts w:ascii="宋体" w:hAnsi="宋体" w:cs="宋体"/>
                <w:szCs w:val="21"/>
              </w:rPr>
            </w:pPr>
          </w:p>
        </w:tc>
        <w:tc>
          <w:tcPr>
            <w:tcW w:w="5756" w:type="dxa"/>
            <w:vAlign w:val="center"/>
          </w:tcPr>
          <w:p>
            <w:pPr>
              <w:spacing w:line="288" w:lineRule="auto"/>
              <w:rPr>
                <w:rFonts w:ascii="宋体" w:hAnsi="宋体" w:cs="宋体"/>
                <w:szCs w:val="21"/>
              </w:rPr>
            </w:pPr>
            <w:r>
              <w:rPr>
                <w:rFonts w:hint="eastAsia" w:ascii="宋体" w:hAnsi="宋体" w:cs="宋体"/>
                <w:szCs w:val="21"/>
              </w:rPr>
              <w:t>1.提供AAA级信用等级证书，提供AAA级质量服务企业证书，每提供一项得1分，共计2分（提供相关复印件盖公章）；</w:t>
            </w:r>
          </w:p>
          <w:p>
            <w:pPr>
              <w:spacing w:line="288" w:lineRule="auto"/>
              <w:rPr>
                <w:rFonts w:ascii="宋体" w:hAnsi="宋体" w:cs="宋体"/>
                <w:szCs w:val="21"/>
              </w:rPr>
            </w:pPr>
            <w:r>
              <w:rPr>
                <w:rFonts w:hint="eastAsia" w:ascii="宋体" w:hAnsi="宋体" w:cs="宋体"/>
                <w:szCs w:val="21"/>
              </w:rPr>
              <w:t>2.提供售后服务五星资质证书（2分），不提供不得分（提供相关复印件盖公章）</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vMerge w:val="continue"/>
            <w:vAlign w:val="center"/>
          </w:tcPr>
          <w:p>
            <w:pPr>
              <w:spacing w:line="288" w:lineRule="auto"/>
              <w:jc w:val="center"/>
              <w:rPr>
                <w:rFonts w:ascii="宋体" w:hAnsi="宋体" w:cs="宋体"/>
                <w:szCs w:val="21"/>
              </w:rPr>
            </w:pPr>
          </w:p>
        </w:tc>
        <w:tc>
          <w:tcPr>
            <w:tcW w:w="1190" w:type="dxa"/>
            <w:vMerge w:val="continue"/>
            <w:vAlign w:val="center"/>
          </w:tcPr>
          <w:p>
            <w:pPr>
              <w:spacing w:line="288" w:lineRule="auto"/>
              <w:jc w:val="center"/>
              <w:rPr>
                <w:rFonts w:ascii="宋体" w:hAnsi="宋体" w:cs="宋体"/>
                <w:szCs w:val="21"/>
              </w:rPr>
            </w:pPr>
          </w:p>
        </w:tc>
        <w:tc>
          <w:tcPr>
            <w:tcW w:w="5756" w:type="dxa"/>
            <w:vAlign w:val="center"/>
          </w:tcPr>
          <w:p>
            <w:pPr>
              <w:spacing w:line="288" w:lineRule="auto"/>
              <w:rPr>
                <w:rFonts w:ascii="宋体" w:hAnsi="宋体" w:cs="宋体"/>
                <w:szCs w:val="21"/>
              </w:rPr>
            </w:pPr>
            <w:r>
              <w:rPr>
                <w:rFonts w:hint="eastAsia" w:ascii="宋体" w:hAnsi="宋体" w:cs="宋体"/>
                <w:szCs w:val="21"/>
              </w:rPr>
              <w:t>2018年1月1日至今以来投放吹风机服务机器数量对比（15分）：（第一档得15分：投放自助吹风机数量≥200套；第二档得10分：200＜投放自助吹风机数量≥150；第三档得5分：150＜投放自助吹风机数量≥50； 50＜投放自助式吹风机数量不得分）；</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vMerge w:val="continue"/>
            <w:vAlign w:val="center"/>
          </w:tcPr>
          <w:p>
            <w:pPr>
              <w:spacing w:line="288" w:lineRule="auto"/>
              <w:jc w:val="center"/>
              <w:rPr>
                <w:rFonts w:ascii="宋体" w:hAnsi="宋体" w:cs="宋体"/>
                <w:szCs w:val="21"/>
              </w:rPr>
            </w:pPr>
          </w:p>
        </w:tc>
        <w:tc>
          <w:tcPr>
            <w:tcW w:w="1190" w:type="dxa"/>
            <w:vAlign w:val="center"/>
          </w:tcPr>
          <w:p>
            <w:pPr>
              <w:spacing w:line="288" w:lineRule="auto"/>
              <w:jc w:val="center"/>
              <w:rPr>
                <w:rFonts w:ascii="宋体" w:hAnsi="宋体" w:cs="宋体"/>
                <w:szCs w:val="21"/>
              </w:rPr>
            </w:pPr>
            <w:r>
              <w:rPr>
                <w:rFonts w:hint="eastAsia" w:ascii="宋体" w:hAnsi="宋体" w:cs="宋体"/>
                <w:szCs w:val="21"/>
              </w:rPr>
              <w:t>企业业绩</w:t>
            </w:r>
          </w:p>
        </w:tc>
        <w:tc>
          <w:tcPr>
            <w:tcW w:w="5756" w:type="dxa"/>
            <w:vAlign w:val="center"/>
          </w:tcPr>
          <w:p>
            <w:pPr>
              <w:spacing w:line="288" w:lineRule="auto"/>
              <w:rPr>
                <w:rFonts w:ascii="宋体" w:hAnsi="宋体" w:cs="宋体"/>
                <w:szCs w:val="21"/>
              </w:rPr>
            </w:pPr>
            <w:r>
              <w:rPr>
                <w:rFonts w:hint="eastAsia" w:ascii="宋体" w:hAnsi="宋体" w:cs="宋体"/>
                <w:szCs w:val="21"/>
              </w:rPr>
              <w:t>提供2018年1月1日至今以来自助式吹风机服务合同，共1分：每提供一份得1分，共计3分（以合同签订日期为准）（提供相关复印件盖公章）</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vMerge w:val="restart"/>
            <w:vAlign w:val="center"/>
          </w:tcPr>
          <w:p>
            <w:pPr>
              <w:spacing w:line="288" w:lineRule="auto"/>
              <w:jc w:val="center"/>
              <w:rPr>
                <w:rFonts w:ascii="宋体" w:hAnsi="宋体" w:cs="宋体"/>
                <w:szCs w:val="21"/>
              </w:rPr>
            </w:pPr>
            <w:r>
              <w:rPr>
                <w:rFonts w:hint="eastAsia" w:ascii="宋体" w:hAnsi="宋体" w:cs="宋体"/>
                <w:szCs w:val="21"/>
              </w:rPr>
              <w:t>技术标</w:t>
            </w:r>
          </w:p>
          <w:p>
            <w:pPr>
              <w:spacing w:line="288" w:lineRule="auto"/>
              <w:jc w:val="center"/>
              <w:rPr>
                <w:rFonts w:ascii="宋体" w:hAnsi="宋体" w:cs="宋体"/>
                <w:szCs w:val="21"/>
              </w:rPr>
            </w:pPr>
            <w:r>
              <w:rPr>
                <w:rFonts w:hint="eastAsia" w:ascii="宋体" w:hAnsi="宋体" w:cs="宋体"/>
                <w:szCs w:val="21"/>
              </w:rPr>
              <w:t>（15分）</w:t>
            </w:r>
          </w:p>
        </w:tc>
        <w:tc>
          <w:tcPr>
            <w:tcW w:w="1190" w:type="dxa"/>
            <w:vAlign w:val="center"/>
          </w:tcPr>
          <w:p>
            <w:pPr>
              <w:spacing w:line="288" w:lineRule="auto"/>
              <w:jc w:val="center"/>
              <w:rPr>
                <w:rFonts w:ascii="宋体" w:hAnsi="宋体" w:cs="宋体"/>
                <w:szCs w:val="21"/>
              </w:rPr>
            </w:pPr>
            <w:r>
              <w:rPr>
                <w:rFonts w:hint="eastAsia" w:ascii="宋体" w:hAnsi="宋体" w:cs="宋体"/>
                <w:szCs w:val="21"/>
              </w:rPr>
              <w:t>本地服务团队</w:t>
            </w:r>
          </w:p>
        </w:tc>
        <w:tc>
          <w:tcPr>
            <w:tcW w:w="5756" w:type="dxa"/>
          </w:tcPr>
          <w:p>
            <w:pPr>
              <w:spacing w:line="288" w:lineRule="auto"/>
              <w:rPr>
                <w:rFonts w:ascii="宋体" w:hAnsi="宋体" w:cs="宋体"/>
                <w:szCs w:val="21"/>
              </w:rPr>
            </w:pPr>
            <w:r>
              <w:rPr>
                <w:rFonts w:hint="eastAsia" w:ascii="宋体" w:hAnsi="宋体" w:cs="宋体"/>
                <w:szCs w:val="21"/>
              </w:rPr>
              <w:t>供应商应组织较完整的本地服务团队，提供服务团队架构及人员信息，共计3分，每一项得1分（包含：服务人员社保信息、健康证、驾驶证等，加盖公章）；</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vMerge w:val="continue"/>
            <w:vAlign w:val="center"/>
          </w:tcPr>
          <w:p>
            <w:pPr>
              <w:spacing w:line="288" w:lineRule="auto"/>
              <w:jc w:val="center"/>
              <w:rPr>
                <w:rFonts w:ascii="宋体" w:hAnsi="宋体" w:cs="宋体"/>
                <w:szCs w:val="21"/>
              </w:rPr>
            </w:pPr>
          </w:p>
        </w:tc>
        <w:tc>
          <w:tcPr>
            <w:tcW w:w="1190" w:type="dxa"/>
            <w:vAlign w:val="center"/>
          </w:tcPr>
          <w:p>
            <w:pPr>
              <w:spacing w:line="288" w:lineRule="auto"/>
              <w:jc w:val="center"/>
              <w:rPr>
                <w:rFonts w:ascii="宋体" w:hAnsi="宋体" w:cs="宋体"/>
                <w:szCs w:val="21"/>
              </w:rPr>
            </w:pPr>
            <w:r>
              <w:rPr>
                <w:rFonts w:hint="eastAsia" w:ascii="宋体" w:hAnsi="宋体" w:cs="宋体"/>
                <w:szCs w:val="21"/>
              </w:rPr>
              <w:t>管理平台</w:t>
            </w:r>
          </w:p>
        </w:tc>
        <w:tc>
          <w:tcPr>
            <w:tcW w:w="5756" w:type="dxa"/>
          </w:tcPr>
          <w:p>
            <w:pPr>
              <w:spacing w:line="288" w:lineRule="auto"/>
              <w:rPr>
                <w:rFonts w:ascii="宋体" w:hAnsi="宋体" w:cs="宋体"/>
                <w:szCs w:val="21"/>
              </w:rPr>
            </w:pPr>
            <w:r>
              <w:rPr>
                <w:rFonts w:hint="eastAsia" w:ascii="宋体" w:hAnsi="宋体" w:cs="宋体"/>
                <w:szCs w:val="21"/>
              </w:rPr>
              <w:t>吹风机具备在线管理平台功能，并可在管理后台进行机器安全管理及客户使用问题反馈（提供相关平台界面截图并盖公章），满足得5分，没有不得分；</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vMerge w:val="continue"/>
            <w:vAlign w:val="center"/>
          </w:tcPr>
          <w:p>
            <w:pPr>
              <w:spacing w:line="288" w:lineRule="auto"/>
              <w:jc w:val="center"/>
              <w:rPr>
                <w:rFonts w:ascii="宋体" w:hAnsi="宋体" w:cs="宋体"/>
                <w:szCs w:val="21"/>
              </w:rPr>
            </w:pPr>
          </w:p>
        </w:tc>
        <w:tc>
          <w:tcPr>
            <w:tcW w:w="1190" w:type="dxa"/>
            <w:vAlign w:val="center"/>
          </w:tcPr>
          <w:p>
            <w:pPr>
              <w:spacing w:line="288" w:lineRule="auto"/>
              <w:jc w:val="center"/>
              <w:rPr>
                <w:rFonts w:ascii="宋体" w:hAnsi="宋体" w:cs="宋体"/>
                <w:szCs w:val="21"/>
              </w:rPr>
            </w:pPr>
            <w:r>
              <w:rPr>
                <w:rFonts w:hint="eastAsia" w:ascii="宋体" w:hAnsi="宋体" w:cs="宋体"/>
                <w:szCs w:val="21"/>
              </w:rPr>
              <w:t>设备投保</w:t>
            </w:r>
          </w:p>
        </w:tc>
        <w:tc>
          <w:tcPr>
            <w:tcW w:w="5756" w:type="dxa"/>
          </w:tcPr>
          <w:p>
            <w:pPr>
              <w:spacing w:line="288" w:lineRule="auto"/>
              <w:rPr>
                <w:rFonts w:ascii="宋体" w:hAnsi="宋体" w:cs="宋体"/>
                <w:szCs w:val="21"/>
              </w:rPr>
            </w:pPr>
            <w:r>
              <w:rPr>
                <w:rFonts w:hint="eastAsia" w:ascii="宋体" w:hAnsi="宋体" w:cs="宋体"/>
                <w:szCs w:val="21"/>
              </w:rPr>
              <w:t>所投自助式吹风机产品应在国内正规保险公司投保，且满足不低于人民币20万元的产品理赔（提供相关资料截图并盖公章）；提供得2分，没有不得分。</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29" w:type="dxa"/>
            <w:vMerge w:val="continue"/>
            <w:vAlign w:val="center"/>
          </w:tcPr>
          <w:p>
            <w:pPr>
              <w:spacing w:line="288" w:lineRule="auto"/>
              <w:jc w:val="center"/>
              <w:rPr>
                <w:rFonts w:ascii="宋体" w:hAnsi="宋体" w:cs="宋体"/>
                <w:szCs w:val="21"/>
              </w:rPr>
            </w:pPr>
          </w:p>
        </w:tc>
        <w:tc>
          <w:tcPr>
            <w:tcW w:w="1190" w:type="dxa"/>
            <w:vAlign w:val="center"/>
          </w:tcPr>
          <w:p>
            <w:pPr>
              <w:spacing w:line="288" w:lineRule="auto"/>
              <w:jc w:val="center"/>
              <w:rPr>
                <w:rFonts w:ascii="宋体" w:hAnsi="宋体" w:cs="宋体"/>
                <w:szCs w:val="21"/>
              </w:rPr>
            </w:pPr>
            <w:r>
              <w:rPr>
                <w:rFonts w:hint="eastAsia" w:ascii="宋体" w:hAnsi="宋体" w:cs="宋体"/>
                <w:szCs w:val="21"/>
              </w:rPr>
              <w:t>3C认证</w:t>
            </w:r>
          </w:p>
        </w:tc>
        <w:tc>
          <w:tcPr>
            <w:tcW w:w="5756" w:type="dxa"/>
          </w:tcPr>
          <w:p>
            <w:pPr>
              <w:spacing w:line="288" w:lineRule="auto"/>
              <w:rPr>
                <w:rFonts w:ascii="宋体" w:hAnsi="宋体" w:cs="宋体"/>
                <w:szCs w:val="21"/>
              </w:rPr>
            </w:pPr>
            <w:r>
              <w:rPr>
                <w:rFonts w:hint="eastAsia" w:ascii="宋体" w:hAnsi="宋体" w:cs="宋体"/>
                <w:szCs w:val="21"/>
              </w:rPr>
              <w:t>所投自助式吹风机产品主机应是正规注册品牌，且具备国家3C认证检测（提供相关资料复印件并盖公章）；提供得5分，没有不得分。</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vAlign w:val="center"/>
          </w:tcPr>
          <w:p>
            <w:pPr>
              <w:spacing w:line="288" w:lineRule="auto"/>
              <w:jc w:val="center"/>
              <w:rPr>
                <w:rFonts w:ascii="宋体" w:hAnsi="宋体" w:cs="宋体"/>
                <w:szCs w:val="21"/>
              </w:rPr>
            </w:pPr>
            <w:r>
              <w:rPr>
                <w:rFonts w:hint="eastAsia" w:ascii="宋体" w:hAnsi="宋体" w:cs="宋体"/>
                <w:szCs w:val="21"/>
              </w:rPr>
              <w:t>服务方案（30分）</w:t>
            </w:r>
          </w:p>
        </w:tc>
        <w:tc>
          <w:tcPr>
            <w:tcW w:w="1190" w:type="dxa"/>
            <w:vAlign w:val="center"/>
          </w:tcPr>
          <w:p>
            <w:pPr>
              <w:spacing w:line="288" w:lineRule="auto"/>
              <w:jc w:val="center"/>
              <w:rPr>
                <w:rFonts w:ascii="宋体" w:hAnsi="宋体" w:cs="宋体"/>
                <w:szCs w:val="21"/>
              </w:rPr>
            </w:pPr>
            <w:r>
              <w:rPr>
                <w:rFonts w:hint="eastAsia" w:ascii="宋体" w:hAnsi="宋体" w:cs="宋体"/>
                <w:szCs w:val="21"/>
              </w:rPr>
              <w:t>项目管理方案及措施（10分）</w:t>
            </w:r>
          </w:p>
        </w:tc>
        <w:tc>
          <w:tcPr>
            <w:tcW w:w="5756" w:type="dxa"/>
          </w:tcPr>
          <w:p>
            <w:pPr>
              <w:spacing w:line="288" w:lineRule="auto"/>
              <w:rPr>
                <w:rFonts w:ascii="宋体" w:hAnsi="宋体" w:cs="宋体"/>
                <w:szCs w:val="21"/>
              </w:rPr>
            </w:pPr>
            <w:r>
              <w:rPr>
                <w:rFonts w:hint="eastAsia" w:ascii="宋体" w:hAnsi="宋体" w:cs="宋体"/>
                <w:szCs w:val="21"/>
              </w:rPr>
              <w:t>根据供应商管理制度及管理机构，运营方案与实施步骤、运营成本控制措施、管理系统支持网络管理，提供其他基于互联网的信息化增值服务项目；由评委根据各供应商所提供的相关内容进行差异横向对比，内容详实、具体、合理，得7-10分；内容比较详实、合理，得4-7分；内容不够详尽且合理性较差，得1-</w:t>
            </w:r>
            <w:r>
              <w:rPr>
                <w:rFonts w:hint="eastAsia" w:ascii="宋体" w:hAnsi="宋体" w:cs="宋体"/>
                <w:szCs w:val="21"/>
                <w:lang w:val="en-US" w:eastAsia="zh-CN"/>
              </w:rPr>
              <w:t>4</w:t>
            </w:r>
            <w:r>
              <w:rPr>
                <w:rFonts w:hint="eastAsia" w:ascii="宋体" w:hAnsi="宋体" w:cs="宋体"/>
                <w:szCs w:val="21"/>
              </w:rPr>
              <w:t>分；内容不合理或缺项得0分</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pPr>
              <w:spacing w:line="288" w:lineRule="auto"/>
              <w:jc w:val="center"/>
              <w:rPr>
                <w:rFonts w:ascii="宋体" w:hAnsi="宋体" w:cs="宋体"/>
                <w:szCs w:val="21"/>
              </w:rPr>
            </w:pPr>
          </w:p>
        </w:tc>
        <w:tc>
          <w:tcPr>
            <w:tcW w:w="1190" w:type="dxa"/>
            <w:vAlign w:val="center"/>
          </w:tcPr>
          <w:p>
            <w:pPr>
              <w:spacing w:line="288" w:lineRule="auto"/>
              <w:jc w:val="center"/>
              <w:rPr>
                <w:rFonts w:ascii="宋体" w:hAnsi="宋体" w:cs="宋体"/>
                <w:szCs w:val="21"/>
              </w:rPr>
            </w:pPr>
            <w:r>
              <w:rPr>
                <w:rFonts w:hint="eastAsia" w:ascii="宋体" w:hAnsi="宋体" w:cs="宋体"/>
                <w:szCs w:val="21"/>
              </w:rPr>
              <w:t>服务承诺（5分）</w:t>
            </w:r>
          </w:p>
        </w:tc>
        <w:tc>
          <w:tcPr>
            <w:tcW w:w="5756" w:type="dxa"/>
          </w:tcPr>
          <w:p>
            <w:pPr>
              <w:spacing w:line="288" w:lineRule="auto"/>
              <w:rPr>
                <w:rFonts w:ascii="宋体" w:hAnsi="宋体" w:cs="宋体"/>
                <w:szCs w:val="21"/>
              </w:rPr>
            </w:pPr>
            <w:r>
              <w:rPr>
                <w:rFonts w:hint="eastAsia" w:ascii="宋体" w:hAnsi="宋体" w:cs="宋体"/>
                <w:szCs w:val="21"/>
              </w:rPr>
              <w:t>在履行项目过程中；由评委根据各供应商所提供的相关内容进行差异横向对比，内容详实、具体、合理，得3-5分；内容比较详实、合理，得1-3分；内容不合理或缺项得0分。</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pPr>
              <w:spacing w:line="288" w:lineRule="auto"/>
              <w:jc w:val="center"/>
              <w:rPr>
                <w:rFonts w:ascii="宋体" w:hAnsi="宋体" w:cs="宋体"/>
                <w:szCs w:val="21"/>
              </w:rPr>
            </w:pPr>
          </w:p>
        </w:tc>
        <w:tc>
          <w:tcPr>
            <w:tcW w:w="1190" w:type="dxa"/>
            <w:vAlign w:val="center"/>
          </w:tcPr>
          <w:p>
            <w:pPr>
              <w:spacing w:line="288" w:lineRule="auto"/>
              <w:jc w:val="center"/>
              <w:rPr>
                <w:rFonts w:ascii="宋体" w:hAnsi="宋体" w:cs="宋体"/>
                <w:szCs w:val="21"/>
              </w:rPr>
            </w:pPr>
            <w:r>
              <w:rPr>
                <w:rFonts w:hint="eastAsia" w:ascii="宋体" w:hAnsi="宋体" w:cs="宋体"/>
                <w:szCs w:val="21"/>
              </w:rPr>
              <w:t>应急故障的处理措施（5分）</w:t>
            </w:r>
          </w:p>
        </w:tc>
        <w:tc>
          <w:tcPr>
            <w:tcW w:w="5756" w:type="dxa"/>
          </w:tcPr>
          <w:p>
            <w:pPr>
              <w:spacing w:line="288" w:lineRule="auto"/>
              <w:rPr>
                <w:rFonts w:ascii="宋体" w:hAnsi="宋体" w:cs="宋体"/>
                <w:szCs w:val="21"/>
              </w:rPr>
            </w:pPr>
            <w:r>
              <w:rPr>
                <w:rFonts w:hint="eastAsia" w:ascii="宋体" w:hAnsi="宋体" w:cs="宋体"/>
                <w:szCs w:val="21"/>
              </w:rPr>
              <w:t>根据供应商对设备所发生的故障，提供应急故障的处理措施；由评委根据各供应商所提供的相关内容进行差异横向对比，内容详实、具体、合理，得3-5分；内容比较详实、合理，得1-3分；内容不合理或缺项得0分。</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pPr>
              <w:spacing w:line="288" w:lineRule="auto"/>
              <w:jc w:val="center"/>
              <w:rPr>
                <w:rFonts w:ascii="宋体" w:hAnsi="宋体" w:cs="宋体"/>
                <w:szCs w:val="21"/>
              </w:rPr>
            </w:pPr>
          </w:p>
        </w:tc>
        <w:tc>
          <w:tcPr>
            <w:tcW w:w="1190" w:type="dxa"/>
            <w:vAlign w:val="center"/>
          </w:tcPr>
          <w:p>
            <w:pPr>
              <w:spacing w:line="288" w:lineRule="auto"/>
              <w:jc w:val="center"/>
              <w:rPr>
                <w:rFonts w:ascii="宋体" w:hAnsi="宋体" w:cs="宋体"/>
                <w:szCs w:val="21"/>
              </w:rPr>
            </w:pPr>
            <w:r>
              <w:rPr>
                <w:rFonts w:hint="eastAsia" w:ascii="宋体" w:hAnsi="宋体" w:cs="宋体"/>
                <w:szCs w:val="21"/>
              </w:rPr>
              <w:t>设备日常维护及保养措施（10）</w:t>
            </w:r>
          </w:p>
        </w:tc>
        <w:tc>
          <w:tcPr>
            <w:tcW w:w="5756" w:type="dxa"/>
          </w:tcPr>
          <w:p>
            <w:pPr>
              <w:spacing w:line="288" w:lineRule="auto"/>
              <w:rPr>
                <w:rFonts w:ascii="宋体" w:hAnsi="宋体" w:cs="宋体"/>
                <w:szCs w:val="21"/>
              </w:rPr>
            </w:pPr>
            <w:r>
              <w:rPr>
                <w:rFonts w:hint="eastAsia" w:ascii="宋体" w:hAnsi="宋体" w:cs="宋体"/>
                <w:szCs w:val="21"/>
              </w:rPr>
              <w:t>根据设备日常维护，故障设备的检修及维护管理；由评委根据各供应商所提供的相关内容进行差异横向对比，内容详实、具体、合理，得7-10分；内容比较详实、合理，得4-7分；内容不够详尽且合理性较差，得1-4分；内容不合理或缺项得0分。</w:t>
            </w:r>
          </w:p>
        </w:tc>
        <w:tc>
          <w:tcPr>
            <w:tcW w:w="856" w:type="dxa"/>
            <w:vAlign w:val="center"/>
          </w:tcPr>
          <w:p>
            <w:pPr>
              <w:spacing w:line="288" w:lineRule="auto"/>
              <w:jc w:val="center"/>
              <w:rPr>
                <w:rFonts w:ascii="宋体" w:hAnsi="宋体" w:cs="宋体"/>
                <w:szCs w:val="21"/>
              </w:rPr>
            </w:pPr>
            <w:r>
              <w:rPr>
                <w:rFonts w:hint="eastAsia" w:ascii="宋体" w:hAnsi="宋体" w:cs="宋体"/>
                <w:szCs w:val="21"/>
              </w:rPr>
              <w:t>10</w:t>
            </w:r>
          </w:p>
        </w:tc>
      </w:tr>
    </w:tbl>
    <w:p>
      <w:pPr>
        <w:pStyle w:val="107"/>
        <w:spacing w:line="400" w:lineRule="exact"/>
        <w:ind w:firstLine="482" w:firstLineChars="200"/>
        <w:rPr>
          <w:rFonts w:ascii="宋体" w:hAnsi="宋体" w:eastAsia="宋体" w:cs="宋体"/>
          <w:b/>
          <w:bCs/>
          <w:color w:val="000000" w:themeColor="text1"/>
          <w14:textFill>
            <w14:solidFill>
              <w14:schemeClr w14:val="tx1"/>
            </w14:solidFill>
          </w14:textFill>
        </w:rPr>
        <w:sectPr>
          <w:footerReference r:id="rId5" w:type="default"/>
          <w:pgSz w:w="11911" w:h="16838"/>
          <w:pgMar w:top="1587" w:right="1587" w:bottom="1587" w:left="1587" w:header="720" w:footer="720" w:gutter="0"/>
          <w:cols w:space="0" w:num="1"/>
          <w:docGrid w:linePitch="290" w:charSpace="0"/>
        </w:sectPr>
      </w:pPr>
      <w:r>
        <w:rPr>
          <w:rFonts w:hint="eastAsia" w:ascii="宋体" w:hAnsi="宋体" w:eastAsia="宋体" w:cs="宋体"/>
          <w:b/>
          <w:bCs/>
          <w:color w:val="000000" w:themeColor="text1"/>
          <w14:textFill>
            <w14:solidFill>
              <w14:schemeClr w14:val="tx1"/>
            </w14:solidFill>
          </w14:textFill>
        </w:rPr>
        <w:t>注：以上评分，凡涉及评分范围的，均不含下限得分，精确到小数点后1位。</w:t>
      </w:r>
    </w:p>
    <w:p>
      <w:pPr>
        <w:pStyle w:val="107"/>
        <w:spacing w:line="400" w:lineRule="exact"/>
        <w:ind w:firstLineChars="200"/>
        <w:rPr>
          <w:rFonts w:ascii="宋体" w:hAnsi="宋体" w:eastAsia="宋体" w:cs="宋体"/>
          <w:color w:val="000000" w:themeColor="text1"/>
          <w14:textFill>
            <w14:solidFill>
              <w14:schemeClr w14:val="tx1"/>
            </w14:solidFill>
          </w14:textFill>
        </w:rPr>
      </w:pPr>
    </w:p>
    <w:p>
      <w:pPr>
        <w:pStyle w:val="107"/>
        <w:spacing w:line="400" w:lineRule="exact"/>
        <w:ind w:firstLineChars="200"/>
        <w:rPr>
          <w:rFonts w:ascii="宋体" w:hAnsi="宋体" w:eastAsia="宋体" w:cs="宋体"/>
          <w:color w:val="000000" w:themeColor="text1"/>
          <w14:textFill>
            <w14:solidFill>
              <w14:schemeClr w14:val="tx1"/>
            </w14:solidFill>
          </w14:textFill>
        </w:rPr>
      </w:pPr>
    </w:p>
    <w:p>
      <w:pPr>
        <w:pStyle w:val="8"/>
        <w:rPr>
          <w:rFonts w:ascii="宋体" w:hAnsi="宋体" w:eastAsia="宋体" w:cs="宋体"/>
          <w:bCs/>
          <w:color w:val="000000" w:themeColor="text1"/>
          <w:szCs w:val="44"/>
          <w14:textFill>
            <w14:solidFill>
              <w14:schemeClr w14:val="tx1"/>
            </w14:solidFill>
          </w14:textFill>
        </w:rPr>
      </w:pPr>
      <w:r>
        <w:rPr>
          <w:rFonts w:hint="eastAsia" w:ascii="宋体" w:hAnsi="宋体" w:eastAsia="宋体" w:cs="宋体"/>
          <w:bCs/>
          <w:color w:val="000000" w:themeColor="text1"/>
          <w:szCs w:val="44"/>
          <w14:textFill>
            <w14:solidFill>
              <w14:schemeClr w14:val="tx1"/>
            </w14:solidFill>
          </w14:textFill>
        </w:rPr>
        <w:t xml:space="preserve">   </w:t>
      </w:r>
      <w:bookmarkStart w:id="146" w:name="_Toc17729"/>
      <w:r>
        <w:rPr>
          <w:rFonts w:hint="eastAsia" w:ascii="宋体" w:hAnsi="宋体" w:eastAsia="宋体" w:cs="宋体"/>
          <w:bCs/>
          <w:color w:val="000000" w:themeColor="text1"/>
          <w:szCs w:val="44"/>
          <w14:textFill>
            <w14:solidFill>
              <w14:schemeClr w14:val="tx1"/>
            </w14:solidFill>
          </w14:textFill>
        </w:rPr>
        <w:t>第六章  竞争性磋商响应文件格式</w:t>
      </w:r>
      <w:bookmarkEnd w:id="146"/>
    </w:p>
    <w:p>
      <w:pPr>
        <w:jc w:val="center"/>
        <w:rPr>
          <w:rFonts w:ascii="宋体" w:hAnsi="宋体" w:cs="宋体"/>
          <w:b/>
          <w:color w:val="000000" w:themeColor="text1"/>
          <w:sz w:val="72"/>
          <w:szCs w:val="21"/>
          <w14:textFill>
            <w14:solidFill>
              <w14:schemeClr w14:val="tx1"/>
            </w14:solidFill>
          </w14:textFill>
        </w:rPr>
      </w:pPr>
    </w:p>
    <w:p>
      <w:pPr>
        <w:jc w:val="center"/>
        <w:rPr>
          <w:rFonts w:ascii="宋体" w:hAnsi="宋体" w:cs="宋体"/>
          <w:b/>
          <w:color w:val="000000" w:themeColor="text1"/>
          <w:sz w:val="72"/>
          <w:szCs w:val="21"/>
          <w14:textFill>
            <w14:solidFill>
              <w14:schemeClr w14:val="tx1"/>
            </w14:solidFill>
          </w14:textFill>
        </w:rPr>
      </w:pPr>
      <w:r>
        <w:rPr>
          <w:rFonts w:hint="eastAsia" w:ascii="宋体" w:hAnsi="宋体" w:cs="宋体"/>
          <w:b/>
          <w:color w:val="000000" w:themeColor="text1"/>
          <w:sz w:val="72"/>
          <w:szCs w:val="21"/>
          <w14:textFill>
            <w14:solidFill>
              <w14:schemeClr w14:val="tx1"/>
            </w14:solidFill>
          </w14:textFill>
        </w:rPr>
        <w:t xml:space="preserve"> 竞争性磋商响应文件</w:t>
      </w:r>
    </w:p>
    <w:p>
      <w:pPr>
        <w:pStyle w:val="107"/>
        <w:ind w:firstLine="0"/>
        <w:jc w:val="center"/>
        <w:rPr>
          <w:rFonts w:ascii="宋体" w:hAnsi="宋体" w:eastAsia="宋体" w:cs="宋体"/>
          <w:b/>
          <w:bCs/>
          <w:color w:val="000000" w:themeColor="text1"/>
          <w:sz w:val="32"/>
          <w14:textFill>
            <w14:solidFill>
              <w14:schemeClr w14:val="tx1"/>
            </w14:solidFill>
          </w14:textFill>
        </w:rPr>
      </w:pPr>
    </w:p>
    <w:p>
      <w:pPr>
        <w:ind w:firstLine="1084" w:firstLineChars="300"/>
        <w:rPr>
          <w:rFonts w:ascii="宋体" w:hAnsi="宋体" w:cs="宋体"/>
          <w:b/>
          <w:color w:val="000000" w:themeColor="text1"/>
          <w:sz w:val="36"/>
          <w:szCs w:val="21"/>
          <w14:textFill>
            <w14:solidFill>
              <w14:schemeClr w14:val="tx1"/>
            </w14:solidFill>
          </w14:textFill>
        </w:rPr>
      </w:pPr>
      <w:r>
        <w:rPr>
          <w:rFonts w:hint="eastAsia" w:ascii="宋体" w:hAnsi="宋体" w:cs="宋体"/>
          <w:b/>
          <w:color w:val="000000" w:themeColor="text1"/>
          <w:sz w:val="36"/>
          <w:szCs w:val="21"/>
          <w14:textFill>
            <w14:solidFill>
              <w14:schemeClr w14:val="tx1"/>
            </w14:solidFill>
          </w14:textFill>
        </w:rPr>
        <w:t xml:space="preserve">              （正或副本）</w:t>
      </w:r>
    </w:p>
    <w:p>
      <w:pPr>
        <w:ind w:firstLine="1084" w:firstLineChars="300"/>
        <w:rPr>
          <w:rFonts w:ascii="宋体" w:hAnsi="宋体" w:cs="宋体"/>
          <w:b/>
          <w:color w:val="000000" w:themeColor="text1"/>
          <w:sz w:val="36"/>
          <w:szCs w:val="21"/>
          <w14:textFill>
            <w14:solidFill>
              <w14:schemeClr w14:val="tx1"/>
            </w14:solidFill>
          </w14:textFill>
        </w:rPr>
      </w:pPr>
    </w:p>
    <w:p>
      <w:pPr>
        <w:ind w:firstLine="1084" w:firstLineChars="300"/>
        <w:rPr>
          <w:rFonts w:ascii="宋体" w:hAnsi="宋体" w:cs="宋体"/>
          <w:b/>
          <w:color w:val="000000" w:themeColor="text1"/>
          <w:sz w:val="36"/>
          <w:szCs w:val="21"/>
          <w14:textFill>
            <w14:solidFill>
              <w14:schemeClr w14:val="tx1"/>
            </w14:solidFill>
          </w14:textFill>
        </w:rPr>
      </w:pPr>
    </w:p>
    <w:p>
      <w:pPr>
        <w:ind w:firstLine="1084" w:firstLineChars="300"/>
        <w:outlineLvl w:val="0"/>
        <w:rPr>
          <w:rStyle w:val="163"/>
          <w:rFonts w:ascii="宋体" w:hAnsi="宋体" w:cs="宋体"/>
          <w:b/>
          <w:color w:val="000000" w:themeColor="text1"/>
          <w:sz w:val="36"/>
          <w14:textFill>
            <w14:solidFill>
              <w14:schemeClr w14:val="tx1"/>
            </w14:solidFill>
          </w14:textFill>
        </w:rPr>
      </w:pPr>
      <w:bookmarkStart w:id="147" w:name="_Toc30732"/>
      <w:bookmarkStart w:id="148" w:name="_Toc8567"/>
      <w:r>
        <w:rPr>
          <w:rStyle w:val="163"/>
          <w:rFonts w:hint="eastAsia" w:ascii="宋体" w:hAnsi="宋体" w:cs="宋体"/>
          <w:b/>
          <w:color w:val="000000" w:themeColor="text1"/>
          <w:sz w:val="36"/>
          <w14:textFill>
            <w14:solidFill>
              <w14:schemeClr w14:val="tx1"/>
            </w14:solidFill>
          </w14:textFill>
        </w:rPr>
        <w:t>项 目 名 称：</w:t>
      </w:r>
      <w:bookmarkEnd w:id="147"/>
      <w:bookmarkEnd w:id="148"/>
    </w:p>
    <w:p>
      <w:pPr>
        <w:ind w:firstLine="1084" w:firstLineChars="300"/>
        <w:outlineLvl w:val="0"/>
        <w:rPr>
          <w:rStyle w:val="163"/>
          <w:rFonts w:ascii="宋体" w:hAnsi="宋体" w:cs="宋体"/>
          <w:b/>
          <w:color w:val="000000" w:themeColor="text1"/>
          <w:sz w:val="36"/>
          <w:u w:val="single" w:color="000000"/>
          <w14:textFill>
            <w14:solidFill>
              <w14:schemeClr w14:val="tx1"/>
            </w14:solidFill>
          </w14:textFill>
        </w:rPr>
      </w:pPr>
      <w:bookmarkStart w:id="149" w:name="_Toc1897"/>
      <w:bookmarkStart w:id="150" w:name="_Toc20815"/>
      <w:r>
        <w:rPr>
          <w:rStyle w:val="163"/>
          <w:rFonts w:hint="eastAsia" w:ascii="宋体" w:hAnsi="宋体" w:cs="宋体"/>
          <w:b/>
          <w:color w:val="000000" w:themeColor="text1"/>
          <w:sz w:val="36"/>
          <w14:textFill>
            <w14:solidFill>
              <w14:schemeClr w14:val="tx1"/>
            </w14:solidFill>
          </w14:textFill>
        </w:rPr>
        <w:t>招 标 编 号：</w:t>
      </w:r>
      <w:bookmarkEnd w:id="149"/>
      <w:bookmarkEnd w:id="150"/>
    </w:p>
    <w:p>
      <w:pPr>
        <w:ind w:firstLine="1084" w:firstLineChars="300"/>
        <w:outlineLvl w:val="0"/>
        <w:rPr>
          <w:rStyle w:val="163"/>
          <w:rFonts w:ascii="宋体" w:hAnsi="宋体" w:cs="宋体"/>
          <w:b/>
          <w:color w:val="000000" w:themeColor="text1"/>
          <w:sz w:val="36"/>
          <w:u w:val="single" w:color="000000"/>
          <w14:textFill>
            <w14:solidFill>
              <w14:schemeClr w14:val="tx1"/>
            </w14:solidFill>
          </w14:textFill>
        </w:rPr>
      </w:pPr>
      <w:bookmarkStart w:id="151" w:name="_Toc27780"/>
      <w:bookmarkStart w:id="152" w:name="_Toc15597"/>
      <w:r>
        <w:rPr>
          <w:rStyle w:val="163"/>
          <w:rFonts w:hint="eastAsia" w:ascii="宋体" w:hAnsi="宋体" w:cs="宋体"/>
          <w:b/>
          <w:color w:val="000000" w:themeColor="text1"/>
          <w:sz w:val="36"/>
          <w14:textFill>
            <w14:solidFill>
              <w14:schemeClr w14:val="tx1"/>
            </w14:solidFill>
          </w14:textFill>
        </w:rPr>
        <w:t>投标人名称 ：</w:t>
      </w:r>
      <w:bookmarkEnd w:id="151"/>
      <w:bookmarkEnd w:id="152"/>
    </w:p>
    <w:p>
      <w:pPr>
        <w:ind w:firstLine="1084" w:firstLineChars="300"/>
        <w:rPr>
          <w:rFonts w:ascii="宋体" w:hAnsi="宋体" w:cs="宋体"/>
          <w:b/>
          <w:color w:val="000000" w:themeColor="text1"/>
          <w:sz w:val="36"/>
          <w14:textFill>
            <w14:solidFill>
              <w14:schemeClr w14:val="tx1"/>
            </w14:solidFill>
          </w14:textFill>
        </w:rPr>
      </w:pPr>
      <w:bookmarkStart w:id="153" w:name="_Toc26387"/>
      <w:r>
        <w:rPr>
          <w:rStyle w:val="163"/>
          <w:rFonts w:hint="eastAsia" w:ascii="宋体" w:hAnsi="宋体" w:cs="宋体"/>
          <w:b/>
          <w:color w:val="000000" w:themeColor="text1"/>
          <w:sz w:val="36"/>
          <w14:textFill>
            <w14:solidFill>
              <w14:schemeClr w14:val="tx1"/>
            </w14:solidFill>
          </w14:textFill>
        </w:rPr>
        <w:t>日      期 ：</w:t>
      </w:r>
      <w:bookmarkEnd w:id="153"/>
    </w:p>
    <w:p>
      <w:pPr>
        <w:pStyle w:val="107"/>
        <w:ind w:firstLine="2464" w:firstLineChars="770"/>
        <w:rPr>
          <w:rFonts w:ascii="宋体" w:hAnsi="宋体" w:eastAsia="宋体" w:cs="宋体"/>
          <w:bCs/>
          <w:color w:val="000000" w:themeColor="text1"/>
          <w:sz w:val="32"/>
          <w:szCs w:val="32"/>
          <w14:textFill>
            <w14:solidFill>
              <w14:schemeClr w14:val="tx1"/>
            </w14:solidFill>
          </w14:textFill>
        </w:rPr>
      </w:pPr>
    </w:p>
    <w:p>
      <w:pPr>
        <w:pStyle w:val="107"/>
        <w:spacing w:before="0" w:after="0"/>
        <w:ind w:firstLine="0"/>
        <w:rPr>
          <w:rFonts w:ascii="宋体" w:hAnsi="宋体" w:eastAsia="宋体" w:cs="宋体"/>
          <w:color w:val="000000" w:themeColor="text1"/>
          <w:kern w:val="0"/>
          <w14:textFill>
            <w14:solidFill>
              <w14:schemeClr w14:val="tx1"/>
            </w14:solidFill>
          </w14:textFill>
        </w:rPr>
      </w:pPr>
    </w:p>
    <w:p>
      <w:pPr>
        <w:pStyle w:val="107"/>
        <w:spacing w:before="0" w:after="0"/>
        <w:ind w:firstLine="0"/>
        <w:rPr>
          <w:rFonts w:ascii="宋体" w:hAnsi="宋体" w:eastAsia="宋体" w:cs="宋体"/>
          <w:color w:val="000000" w:themeColor="text1"/>
          <w14:textFill>
            <w14:solidFill>
              <w14:schemeClr w14:val="tx1"/>
            </w14:solidFill>
          </w14:textFill>
        </w:rPr>
      </w:pPr>
    </w:p>
    <w:p>
      <w:pPr>
        <w:pStyle w:val="107"/>
        <w:spacing w:before="0" w:after="0"/>
        <w:ind w:firstLine="0"/>
        <w:rPr>
          <w:rFonts w:ascii="宋体" w:hAnsi="宋体" w:eastAsia="宋体" w:cs="宋体"/>
          <w:color w:val="000000" w:themeColor="text1"/>
          <w14:textFill>
            <w14:solidFill>
              <w14:schemeClr w14:val="tx1"/>
            </w14:solidFill>
          </w14:textFill>
        </w:rPr>
      </w:pPr>
    </w:p>
    <w:p>
      <w:pPr>
        <w:pStyle w:val="107"/>
        <w:spacing w:before="0" w:after="0"/>
        <w:ind w:firstLine="0"/>
        <w:rPr>
          <w:rFonts w:ascii="宋体" w:hAnsi="宋体" w:eastAsia="宋体" w:cs="宋体"/>
          <w:color w:val="000000" w:themeColor="text1"/>
          <w14:textFill>
            <w14:solidFill>
              <w14:schemeClr w14:val="tx1"/>
            </w14:solidFill>
          </w14:textFill>
        </w:rPr>
      </w:pPr>
    </w:p>
    <w:p>
      <w:pPr>
        <w:pStyle w:val="107"/>
        <w:spacing w:before="0" w:after="0"/>
        <w:ind w:firstLine="0"/>
        <w:rPr>
          <w:rFonts w:ascii="宋体" w:hAnsi="宋体" w:eastAsia="宋体" w:cs="宋体"/>
          <w:color w:val="000000" w:themeColor="text1"/>
          <w14:textFill>
            <w14:solidFill>
              <w14:schemeClr w14:val="tx1"/>
            </w14:solidFill>
          </w14:textFill>
        </w:rPr>
      </w:pPr>
    </w:p>
    <w:p>
      <w:pPr>
        <w:pStyle w:val="107"/>
        <w:spacing w:before="0" w:after="0"/>
        <w:ind w:firstLine="0"/>
        <w:rPr>
          <w:rFonts w:ascii="宋体" w:hAnsi="宋体" w:eastAsia="宋体" w:cs="宋体"/>
          <w:color w:val="000000" w:themeColor="text1"/>
          <w14:textFill>
            <w14:solidFill>
              <w14:schemeClr w14:val="tx1"/>
            </w14:solidFill>
          </w14:textFill>
        </w:rPr>
      </w:pPr>
    </w:p>
    <w:p>
      <w:pPr>
        <w:pStyle w:val="26"/>
        <w:spacing w:line="360" w:lineRule="auto"/>
        <w:jc w:val="center"/>
        <w:rPr>
          <w:rFonts w:ascii="宋体" w:hAnsi="宋体" w:cs="宋体"/>
          <w:color w:val="000000" w:themeColor="text1"/>
          <w:sz w:val="32"/>
          <w14:textFill>
            <w14:solidFill>
              <w14:schemeClr w14:val="tx1"/>
            </w14:solidFill>
          </w14:textFill>
        </w:rPr>
      </w:pPr>
    </w:p>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评分索引表</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jc w:val="center"/>
              <w:rPr>
                <w:rFonts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评分项目</w:t>
            </w:r>
          </w:p>
        </w:tc>
        <w:tc>
          <w:tcPr>
            <w:tcW w:w="3570"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jc w:val="both"/>
              <w:rPr>
                <w:rFonts w:ascii="宋体" w:hAnsi="宋体" w:eastAsia="宋体" w:cs="宋体"/>
                <w:b/>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jc w:val="both"/>
              <w:rPr>
                <w:rFonts w:ascii="宋体" w:hAnsi="宋体" w:eastAsia="宋体" w:cs="宋体"/>
                <w:color w:val="000000" w:themeColor="text1"/>
                <w:kern w:val="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jc w:val="both"/>
              <w:rPr>
                <w:rFonts w:ascii="宋体" w:hAnsi="宋体" w:eastAsia="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jc w:val="both"/>
              <w:rPr>
                <w:rFonts w:ascii="宋体" w:hAnsi="宋体" w:eastAsia="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b/>
                <w:bCs/>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rPr>
                <w:rFonts w:ascii="宋体" w:hAnsi="宋体" w:eastAsia="宋体" w:cs="宋体"/>
                <w:b/>
                <w:bCs/>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420"/>
              <w:jc w:val="both"/>
              <w:rPr>
                <w:rFonts w:ascii="宋体" w:hAnsi="宋体" w:eastAsia="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0" w:firstLine="480" w:firstLineChars="200"/>
              <w:rPr>
                <w:rFonts w:ascii="宋体" w:hAnsi="宋体" w:eastAsia="宋体" w:cs="宋体"/>
                <w:color w:val="000000" w:themeColor="text1"/>
                <w:szCs w:val="2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pPr>
              <w:pStyle w:val="95"/>
              <w:shd w:val="clear" w:color="auto" w:fill="FFFFFF"/>
              <w:spacing w:line="265" w:lineRule="atLeast"/>
              <w:ind w:left="0" w:firstLine="480" w:firstLineChars="200"/>
              <w:rPr>
                <w:rFonts w:ascii="宋体" w:hAnsi="宋体" w:eastAsia="宋体" w:cs="宋体"/>
                <w:color w:val="000000" w:themeColor="text1"/>
                <w:lang w:eastAsia="zh-CN"/>
                <w14:textFill>
                  <w14:solidFill>
                    <w14:schemeClr w14:val="tx1"/>
                  </w14:solidFill>
                </w14:textFill>
              </w:rPr>
            </w:pPr>
          </w:p>
        </w:tc>
        <w:tc>
          <w:tcPr>
            <w:tcW w:w="35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投标主要文件目录</w:t>
      </w:r>
    </w:p>
    <w:p>
      <w:pPr>
        <w:spacing w:line="700" w:lineRule="exact"/>
        <w:jc w:val="center"/>
        <w:rPr>
          <w:rFonts w:ascii="宋体" w:hAnsi="宋体" w:cs="宋体"/>
          <w:b/>
          <w:bCs/>
          <w:color w:val="000000" w:themeColor="text1"/>
          <w:sz w:val="32"/>
          <w:szCs w:val="32"/>
          <w14:textFill>
            <w14:solidFill>
              <w14:schemeClr w14:val="tx1"/>
            </w14:solidFill>
          </w14:textFill>
        </w:rPr>
      </w:pP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w:t>
      </w:r>
    </w:p>
    <w:p>
      <w:pPr>
        <w:spacing w:line="7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三、符合性检查响应对照表</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四、磋商响应函</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五、开标一览表</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六、项目负责人及服务团队人员一览表</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七、技术方案、服务承诺等</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八、盐城市政府采购事前信用承诺书</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九、招标文件及评标办法中要求提供的其他材料</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十、盐城工业职业技术学院学生宿舍吹风机安装及运营项目磋商多轮报价表（详见文件最后页格式，盖单位章单独带过来用于多轮报价，</w:t>
      </w:r>
      <w:r>
        <w:rPr>
          <w:rFonts w:hint="eastAsia" w:ascii="宋体" w:hAnsi="宋体" w:cs="宋体"/>
          <w:b/>
          <w:color w:val="000000" w:themeColor="text1"/>
          <w:sz w:val="24"/>
          <w14:textFill>
            <w14:solidFill>
              <w14:schemeClr w14:val="tx1"/>
            </w14:solidFill>
          </w14:textFill>
        </w:rPr>
        <w:t>一式四份，无需封装，未签字盖章的报价材料按无效报价处理)</w:t>
      </w:r>
    </w:p>
    <w:p>
      <w:pPr>
        <w:spacing w:line="700" w:lineRule="exact"/>
        <w:ind w:firstLine="480" w:firstLineChars="200"/>
        <w:rPr>
          <w:rFonts w:ascii="宋体" w:hAnsi="宋体" w:cs="宋体"/>
          <w:bCs/>
          <w:color w:val="000000" w:themeColor="text1"/>
          <w:sz w:val="24"/>
          <w14:textFill>
            <w14:solidFill>
              <w14:schemeClr w14:val="tx1"/>
            </w14:solidFill>
          </w14:textFill>
        </w:rPr>
      </w:pPr>
    </w:p>
    <w:p>
      <w:pPr>
        <w:spacing w:line="700" w:lineRule="exact"/>
        <w:ind w:firstLine="480" w:firstLineChars="200"/>
        <w:rPr>
          <w:rFonts w:ascii="宋体" w:hAnsi="宋体" w:cs="宋体"/>
          <w:bCs/>
          <w:color w:val="000000" w:themeColor="text1"/>
          <w:sz w:val="24"/>
          <w14:textFill>
            <w14:solidFill>
              <w14:schemeClr w14:val="tx1"/>
            </w14:solidFill>
          </w14:textFill>
        </w:rPr>
      </w:pPr>
    </w:p>
    <w:p>
      <w:pPr>
        <w:spacing w:line="700" w:lineRule="exact"/>
        <w:ind w:firstLine="480" w:firstLineChars="200"/>
        <w:rPr>
          <w:rFonts w:ascii="宋体" w:hAnsi="宋体" w:cs="宋体"/>
          <w:bCs/>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一、资信证明文件</w:t>
      </w:r>
    </w:p>
    <w:p>
      <w:pPr>
        <w:snapToGrid w:val="0"/>
        <w:spacing w:before="50" w:after="50" w:line="500" w:lineRule="exact"/>
        <w:rPr>
          <w:rFonts w:ascii="宋体" w:hAnsi="宋体" w:cs="宋体"/>
          <w:color w:val="000000" w:themeColor="text1"/>
          <w:sz w:val="24"/>
          <w:szCs w:val="20"/>
          <w14:textFill>
            <w14:solidFill>
              <w14:schemeClr w14:val="tx1"/>
            </w14:solidFill>
          </w14:textFill>
        </w:rPr>
      </w:pPr>
      <w:bookmarkStart w:id="154" w:name="_Hlt26955041"/>
      <w:bookmarkEnd w:id="154"/>
      <w:bookmarkStart w:id="155" w:name="_Toc24878535"/>
      <w:bookmarkStart w:id="156" w:name="_Toc22356583"/>
      <w:bookmarkStart w:id="157" w:name="_Toc26554103"/>
      <w:bookmarkStart w:id="158" w:name="_Toc120614291"/>
      <w:bookmarkStart w:id="159" w:name="_Toc49090582"/>
      <w:bookmarkStart w:id="160" w:name="_Toc23828483"/>
      <w:bookmarkStart w:id="161" w:name="_Toc513029281"/>
      <w:bookmarkStart w:id="162" w:name="_Toc120614284"/>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80" w:lineRule="exact"/>
        <w:ind w:firstLine="482" w:firstLineChars="200"/>
        <w:rPr>
          <w:rFonts w:ascii="宋体" w:hAnsi="宋体" w:cs="宋体"/>
          <w:iCs/>
          <w:color w:val="000000" w:themeColor="text1"/>
          <w:sz w:val="24"/>
          <w:u w:val="single"/>
          <w14:textFill>
            <w14:solidFill>
              <w14:schemeClr w14:val="tx1"/>
            </w14:solidFill>
          </w14:textFill>
        </w:rPr>
      </w:pPr>
      <w:r>
        <w:rPr>
          <w:rFonts w:hint="eastAsia" w:ascii="宋体" w:hAnsi="宋体" w:cs="宋体"/>
          <w:b/>
          <w:iCs/>
          <w:color w:val="000000" w:themeColor="text1"/>
          <w:sz w:val="24"/>
          <w:u w:val="single"/>
          <w14:textFill>
            <w14:solidFill>
              <w14:schemeClr w14:val="tx1"/>
            </w14:solidFill>
          </w14:textFill>
        </w:rPr>
        <w:t xml:space="preserve">文件1  </w:t>
      </w:r>
      <w:r>
        <w:rPr>
          <w:rFonts w:hint="eastAsia" w:ascii="宋体" w:hAnsi="宋体" w:cs="宋体"/>
          <w:iCs/>
          <w:color w:val="000000" w:themeColor="text1"/>
          <w:sz w:val="24"/>
          <w:u w:val="single"/>
          <w14:textFill>
            <w14:solidFill>
              <w14:schemeClr w14:val="tx1"/>
            </w14:solidFill>
          </w14:textFill>
        </w:rPr>
        <w:t>法人或者其他组织的营业执照等证明文件，自然人的身份证明（复印件）</w:t>
      </w:r>
    </w:p>
    <w:p>
      <w:pPr>
        <w:snapToGrid w:val="0"/>
        <w:spacing w:before="50" w:after="120" w:afterLines="50" w:line="580" w:lineRule="exact"/>
        <w:ind w:firstLine="482" w:firstLineChars="200"/>
        <w:jc w:val="left"/>
        <w:rPr>
          <w:rFonts w:ascii="宋体" w:hAnsi="宋体" w:cs="宋体"/>
          <w:b/>
          <w:iCs/>
          <w:color w:val="000000" w:themeColor="text1"/>
          <w:sz w:val="24"/>
          <w:u w:val="single"/>
          <w14:textFill>
            <w14:solidFill>
              <w14:schemeClr w14:val="tx1"/>
            </w14:solidFill>
          </w14:textFill>
        </w:rPr>
      </w:pPr>
      <w:r>
        <w:rPr>
          <w:rFonts w:hint="eastAsia" w:ascii="宋体" w:hAnsi="宋体" w:cs="宋体"/>
          <w:b/>
          <w:iCs/>
          <w:color w:val="000000" w:themeColor="text1"/>
          <w:sz w:val="24"/>
          <w:u w:val="single"/>
          <w14:textFill>
            <w14:solidFill>
              <w14:schemeClr w14:val="tx1"/>
            </w14:solidFill>
          </w14:textFill>
        </w:rPr>
        <w:t xml:space="preserve">文件2  </w:t>
      </w:r>
      <w:r>
        <w:rPr>
          <w:rFonts w:hint="eastAsia" w:ascii="宋体" w:hAnsi="宋体" w:cs="宋体"/>
          <w:iCs/>
          <w:color w:val="000000" w:themeColor="text1"/>
          <w:sz w:val="24"/>
          <w:u w:val="single"/>
          <w14:textFill>
            <w14:solidFill>
              <w14:schemeClr w14:val="tx1"/>
            </w14:solidFill>
          </w14:textFill>
        </w:rPr>
        <w:t>上一年度财务状况报表（复印件，成立不满一年不需提供）</w:t>
      </w:r>
    </w:p>
    <w:p>
      <w:pPr>
        <w:snapToGrid w:val="0"/>
        <w:spacing w:line="580" w:lineRule="exact"/>
        <w:ind w:firstLine="482" w:firstLineChars="200"/>
        <w:rPr>
          <w:rFonts w:ascii="宋体" w:hAnsi="宋体" w:cs="宋体"/>
          <w:iCs/>
          <w:color w:val="000000" w:themeColor="text1"/>
          <w:sz w:val="24"/>
          <w:u w:val="single"/>
          <w14:textFill>
            <w14:solidFill>
              <w14:schemeClr w14:val="tx1"/>
            </w14:solidFill>
          </w14:textFill>
        </w:rPr>
      </w:pPr>
      <w:r>
        <w:rPr>
          <w:rFonts w:hint="eastAsia" w:ascii="宋体" w:hAnsi="宋体" w:cs="宋体"/>
          <w:b/>
          <w:iCs/>
          <w:color w:val="000000" w:themeColor="text1"/>
          <w:sz w:val="24"/>
          <w:u w:val="single"/>
          <w14:textFill>
            <w14:solidFill>
              <w14:schemeClr w14:val="tx1"/>
            </w14:solidFill>
          </w14:textFill>
        </w:rPr>
        <w:t xml:space="preserve">文件3  </w:t>
      </w:r>
      <w:r>
        <w:rPr>
          <w:rFonts w:hint="eastAsia" w:ascii="宋体" w:hAnsi="宋体" w:cs="宋体"/>
          <w:iCs/>
          <w:color w:val="000000" w:themeColor="text1"/>
          <w:sz w:val="24"/>
          <w:u w:val="single"/>
          <w14:textFill>
            <w14:solidFill>
              <w14:schemeClr w14:val="tx1"/>
            </w14:solidFill>
          </w14:textFill>
        </w:rPr>
        <w:t>依法缴纳税收和社会保障资金的相关材料（复印件）</w:t>
      </w:r>
    </w:p>
    <w:p>
      <w:pPr>
        <w:snapToGrid w:val="0"/>
        <w:spacing w:before="50" w:after="120" w:afterLines="50" w:line="580" w:lineRule="exact"/>
        <w:ind w:firstLine="482" w:firstLineChars="200"/>
        <w:jc w:val="left"/>
        <w:rPr>
          <w:rFonts w:ascii="宋体" w:hAnsi="宋体" w:cs="宋体"/>
          <w:b/>
          <w:iCs/>
          <w:color w:val="000000" w:themeColor="text1"/>
          <w:sz w:val="24"/>
          <w:u w:val="single"/>
          <w14:textFill>
            <w14:solidFill>
              <w14:schemeClr w14:val="tx1"/>
            </w14:solidFill>
          </w14:textFill>
        </w:rPr>
      </w:pPr>
      <w:r>
        <w:rPr>
          <w:rFonts w:hint="eastAsia" w:ascii="宋体" w:hAnsi="宋体" w:cs="宋体"/>
          <w:b/>
          <w:iCs/>
          <w:color w:val="000000" w:themeColor="text1"/>
          <w:sz w:val="24"/>
          <w:u w:val="single"/>
          <w14:textFill>
            <w14:solidFill>
              <w14:schemeClr w14:val="tx1"/>
            </w14:solidFill>
          </w14:textFill>
        </w:rPr>
        <w:t xml:space="preserve">文件4  </w:t>
      </w:r>
      <w:r>
        <w:rPr>
          <w:rFonts w:hint="eastAsia" w:ascii="宋体" w:hAnsi="宋体" w:cs="宋体"/>
          <w:iCs/>
          <w:color w:val="000000" w:themeColor="text1"/>
          <w:sz w:val="24"/>
          <w:u w:val="single"/>
          <w14:textFill>
            <w14:solidFill>
              <w14:schemeClr w14:val="tx1"/>
            </w14:solidFill>
          </w14:textFill>
        </w:rPr>
        <w:t>具备履行合同所必需的设备和专业技术能力证明材料（复印件）</w:t>
      </w:r>
    </w:p>
    <w:p>
      <w:pPr>
        <w:snapToGrid w:val="0"/>
        <w:spacing w:line="580" w:lineRule="exact"/>
        <w:ind w:firstLine="482" w:firstLineChars="200"/>
        <w:rPr>
          <w:rFonts w:ascii="宋体" w:hAnsi="宋体" w:cs="宋体"/>
          <w:iCs/>
          <w:color w:val="000000" w:themeColor="text1"/>
          <w:sz w:val="24"/>
          <w:u w:val="single"/>
          <w14:textFill>
            <w14:solidFill>
              <w14:schemeClr w14:val="tx1"/>
            </w14:solidFill>
          </w14:textFill>
        </w:rPr>
      </w:pPr>
      <w:r>
        <w:rPr>
          <w:rFonts w:hint="eastAsia" w:ascii="宋体" w:hAnsi="宋体" w:cs="宋体"/>
          <w:b/>
          <w:iCs/>
          <w:color w:val="000000" w:themeColor="text1"/>
          <w:sz w:val="24"/>
          <w:u w:val="single"/>
          <w14:textFill>
            <w14:solidFill>
              <w14:schemeClr w14:val="tx1"/>
            </w14:solidFill>
          </w14:textFill>
        </w:rPr>
        <w:t xml:space="preserve">文件5 </w:t>
      </w:r>
      <w:r>
        <w:rPr>
          <w:rFonts w:hint="eastAsia" w:ascii="宋体" w:hAnsi="宋体" w:cs="宋体"/>
          <w:iCs/>
          <w:color w:val="000000" w:themeColor="text1"/>
          <w:sz w:val="24"/>
          <w:u w:val="single"/>
          <w14:textFill>
            <w14:solidFill>
              <w14:schemeClr w14:val="tx1"/>
            </w14:solidFill>
          </w14:textFill>
        </w:rPr>
        <w:t>参加政府采购活动前 3 年内在经营活动中没有重大违法记录的书面声明（</w:t>
      </w:r>
      <w:r>
        <w:rPr>
          <w:rFonts w:hint="eastAsia" w:ascii="宋体" w:hAnsi="宋体" w:cs="宋体"/>
          <w:iCs/>
          <w:color w:val="000000" w:themeColor="text1"/>
          <w:u w:val="single"/>
          <w14:textFill>
            <w14:solidFill>
              <w14:schemeClr w14:val="tx1"/>
            </w14:solidFill>
          </w14:textFill>
        </w:rPr>
        <w:t>原件,</w:t>
      </w:r>
      <w:r>
        <w:rPr>
          <w:rFonts w:hint="eastAsia" w:ascii="宋体" w:hAnsi="宋体" w:cs="宋体"/>
          <w:iCs/>
          <w:color w:val="000000" w:themeColor="text1"/>
          <w:sz w:val="24"/>
          <w:u w:val="single"/>
          <w14:textFill>
            <w14:solidFill>
              <w14:schemeClr w14:val="tx1"/>
            </w14:solidFill>
          </w14:textFill>
        </w:rPr>
        <w:t>格式见附表）</w:t>
      </w:r>
    </w:p>
    <w:p>
      <w:pPr>
        <w:pStyle w:val="99"/>
        <w:spacing w:line="580" w:lineRule="exact"/>
        <w:ind w:firstLine="561"/>
        <w:rPr>
          <w:rFonts w:ascii="宋体" w:hAnsi="宋体" w:cs="宋体"/>
          <w:iCs/>
          <w:color w:val="000000" w:themeColor="text1"/>
          <w:u w:val="single"/>
          <w14:textFill>
            <w14:solidFill>
              <w14:schemeClr w14:val="tx1"/>
            </w14:solidFill>
          </w14:textFill>
        </w:rPr>
      </w:pPr>
      <w:r>
        <w:rPr>
          <w:rFonts w:hint="eastAsia" w:ascii="宋体" w:hAnsi="宋体" w:cs="宋体"/>
          <w:b/>
          <w:iCs/>
          <w:color w:val="000000" w:themeColor="text1"/>
          <w:u w:val="single"/>
          <w14:textFill>
            <w14:solidFill>
              <w14:schemeClr w14:val="tx1"/>
            </w14:solidFill>
          </w14:textFill>
        </w:rPr>
        <w:t>文件6</w:t>
      </w:r>
      <w:r>
        <w:rPr>
          <w:rFonts w:hint="eastAsia" w:ascii="宋体" w:hAnsi="宋体" w:cs="宋体"/>
          <w:iCs/>
          <w:color w:val="000000" w:themeColor="text1"/>
          <w:u w:val="single"/>
          <w14:textFill>
            <w14:solidFill>
              <w14:schemeClr w14:val="tx1"/>
            </w14:solidFill>
          </w14:textFill>
        </w:rPr>
        <w:t>法人授权书（原件）</w:t>
      </w:r>
    </w:p>
    <w:p>
      <w:pPr>
        <w:pStyle w:val="99"/>
        <w:spacing w:line="580" w:lineRule="exact"/>
        <w:ind w:firstLine="561"/>
        <w:rPr>
          <w:rFonts w:ascii="宋体" w:hAnsi="宋体" w:cs="宋体"/>
          <w:iCs/>
          <w:color w:val="000000" w:themeColor="text1"/>
          <w:u w:val="single"/>
          <w14:textFill>
            <w14:solidFill>
              <w14:schemeClr w14:val="tx1"/>
            </w14:solidFill>
          </w14:textFill>
        </w:rPr>
      </w:pPr>
      <w:r>
        <w:rPr>
          <w:rFonts w:hint="eastAsia" w:ascii="宋体" w:hAnsi="宋体" w:cs="宋体"/>
          <w:b/>
          <w:iCs/>
          <w:color w:val="000000" w:themeColor="text1"/>
          <w:u w:val="single"/>
          <w14:textFill>
            <w14:solidFill>
              <w14:schemeClr w14:val="tx1"/>
            </w14:solidFill>
          </w14:textFill>
        </w:rPr>
        <w:t>文件7</w:t>
      </w:r>
      <w:r>
        <w:rPr>
          <w:rFonts w:hint="eastAsia" w:ascii="宋体" w:hAnsi="宋体" w:cs="宋体"/>
          <w:iCs/>
          <w:color w:val="000000" w:themeColor="text1"/>
          <w:u w:val="single"/>
          <w14:textFill>
            <w14:solidFill>
              <w14:schemeClr w14:val="tx1"/>
            </w14:solidFill>
          </w14:textFill>
        </w:rPr>
        <w:t>未被“信用中国”网站（www.creditchina.gov.cn）列入失信被执行人、重大税收违法案件当事人名单、政府采购严重失信行为记录名单（提供官网查询截图并加盖公章）；</w:t>
      </w:r>
    </w:p>
    <w:p>
      <w:pPr>
        <w:pStyle w:val="99"/>
        <w:spacing w:line="580" w:lineRule="exact"/>
        <w:ind w:firstLine="561"/>
        <w:rPr>
          <w:rFonts w:ascii="宋体" w:hAnsi="宋体" w:cs="宋体"/>
          <w:iCs/>
          <w:color w:val="000000" w:themeColor="text1"/>
          <w:u w:val="single"/>
          <w14:textFill>
            <w14:solidFill>
              <w14:schemeClr w14:val="tx1"/>
            </w14:solidFill>
          </w14:textFill>
        </w:rPr>
      </w:pPr>
      <w:r>
        <w:rPr>
          <w:rFonts w:hint="eastAsia" w:ascii="宋体" w:hAnsi="宋体" w:cs="宋体"/>
          <w:b/>
          <w:iCs/>
          <w:color w:val="000000" w:themeColor="text1"/>
          <w14:textFill>
            <w14:solidFill>
              <w14:schemeClr w14:val="tx1"/>
            </w14:solidFill>
          </w14:textFill>
        </w:rPr>
        <w:t>文件8</w:t>
      </w:r>
      <w:r>
        <w:rPr>
          <w:rFonts w:hint="eastAsia" w:ascii="宋体" w:hAnsi="宋体" w:cs="宋体"/>
          <w:iCs/>
          <w:color w:val="000000" w:themeColor="text1"/>
          <w:u w:val="single"/>
          <w14:textFill>
            <w14:solidFill>
              <w14:schemeClr w14:val="tx1"/>
            </w14:solidFill>
          </w14:textFill>
        </w:rPr>
        <w:t>招标文件中规定要求提供的其他证明材料和磋商供应商认为需要提供的其他材料。</w:t>
      </w:r>
    </w:p>
    <w:p>
      <w:pPr>
        <w:pStyle w:val="99"/>
        <w:spacing w:line="580" w:lineRule="exact"/>
        <w:ind w:firstLine="561"/>
        <w:rPr>
          <w:rFonts w:ascii="宋体" w:hAnsi="宋体" w:cs="宋体"/>
          <w:iCs/>
          <w:color w:val="000000" w:themeColor="text1"/>
          <w:u w:val="single"/>
          <w14:textFill>
            <w14:solidFill>
              <w14:schemeClr w14:val="tx1"/>
            </w14:solidFill>
          </w14:textFill>
        </w:rPr>
      </w:pPr>
    </w:p>
    <w:p>
      <w:pPr>
        <w:pStyle w:val="99"/>
        <w:spacing w:line="500" w:lineRule="exact"/>
        <w:ind w:firstLine="561"/>
        <w:jc w:val="center"/>
        <w:rPr>
          <w:rFonts w:ascii="宋体" w:hAnsi="宋体" w:cs="宋体"/>
          <w:b/>
          <w:bCs/>
          <w:color w:val="000000" w:themeColor="text1"/>
          <w:szCs w:val="21"/>
          <w14:textFill>
            <w14:solidFill>
              <w14:schemeClr w14:val="tx1"/>
            </w14:solidFill>
          </w14:textFill>
        </w:rPr>
      </w:pPr>
    </w:p>
    <w:p>
      <w:pPr>
        <w:pStyle w:val="99"/>
        <w:spacing w:line="500" w:lineRule="exact"/>
        <w:ind w:firstLine="561"/>
        <w:jc w:val="center"/>
        <w:rPr>
          <w:rFonts w:ascii="宋体" w:hAnsi="宋体" w:cs="宋体"/>
          <w:b/>
          <w:bCs/>
          <w:color w:val="000000" w:themeColor="text1"/>
          <w:szCs w:val="21"/>
          <w14:textFill>
            <w14:solidFill>
              <w14:schemeClr w14:val="tx1"/>
            </w14:solidFill>
          </w14:textFill>
        </w:rPr>
      </w:pPr>
    </w:p>
    <w:p>
      <w:pPr>
        <w:pStyle w:val="99"/>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9"/>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9"/>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9"/>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9"/>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9"/>
        <w:spacing w:line="500" w:lineRule="exact"/>
        <w:ind w:firstLine="4216" w:firstLineChars="1750"/>
        <w:rPr>
          <w:rFonts w:ascii="宋体" w:hAnsi="宋体" w:cs="宋体"/>
          <w:b/>
          <w:bCs/>
          <w:color w:val="000000" w:themeColor="text1"/>
          <w:szCs w:val="21"/>
          <w14:textFill>
            <w14:solidFill>
              <w14:schemeClr w14:val="tx1"/>
            </w14:solidFill>
          </w14:textFill>
        </w:rPr>
      </w:pPr>
    </w:p>
    <w:p>
      <w:pPr>
        <w:pStyle w:val="99"/>
        <w:spacing w:line="500" w:lineRule="exact"/>
        <w:rPr>
          <w:rFonts w:ascii="宋体" w:hAnsi="宋体" w:cs="宋体"/>
          <w:b/>
          <w:bCs/>
          <w:color w:val="000000" w:themeColor="text1"/>
          <w:szCs w:val="21"/>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pStyle w:val="9"/>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具备履行合同所必需的专业技术能力的书面声明</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主要设备有：  。</w:t>
      </w:r>
    </w:p>
    <w:p>
      <w:pPr>
        <w:spacing w:line="460" w:lineRule="exact"/>
        <w:ind w:firstLine="49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主要专业技术能力有：   。</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日期：年月日</w:t>
      </w:r>
    </w:p>
    <w:p>
      <w:pPr>
        <w:pStyle w:val="16"/>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9"/>
        <w:jc w:val="center"/>
        <w:rPr>
          <w:rFonts w:ascii="宋体" w:hAnsi="宋体" w:cs="宋体"/>
          <w:bCs/>
          <w:color w:val="000000" w:themeColor="text1"/>
          <w:sz w:val="24"/>
          <w:szCs w:val="24"/>
          <w14:textFill>
            <w14:solidFill>
              <w14:schemeClr w14:val="tx1"/>
            </w14:solidFill>
          </w14:textFill>
        </w:rPr>
      </w:pPr>
    </w:p>
    <w:p>
      <w:pPr>
        <w:pStyle w:val="9"/>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参加政府采购活动前3年内在经营活动中没有重大违法记录的书面声明</w:t>
      </w:r>
    </w:p>
    <w:p>
      <w:pPr>
        <w:spacing w:line="460" w:lineRule="exact"/>
        <w:rPr>
          <w:rFonts w:ascii="宋体" w:hAnsi="宋体" w:cs="宋体"/>
          <w:b/>
          <w:bCs/>
          <w:color w:val="000000" w:themeColor="text1"/>
          <w:sz w:val="44"/>
          <w:szCs w:val="44"/>
          <w14:textFill>
            <w14:solidFill>
              <w14:schemeClr w14:val="tx1"/>
            </w14:solidFill>
          </w14:textFill>
        </w:rPr>
      </w:pPr>
    </w:p>
    <w:p>
      <w:pPr>
        <w:spacing w:line="460" w:lineRule="exact"/>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 xml:space="preserve">                   声  明</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我公司郑重声明：参加本次政府采购活动前3年内，我公司在经营活动中没有因违法经营受到刑事处罚或者责令停产停业、吊销许可证或者执照、较大数额罚款等行政处罚。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授权代表签字：</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日期：年月日</w:t>
      </w: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pStyle w:val="99"/>
        <w:ind w:firstLine="561"/>
        <w:jc w:val="center"/>
        <w:rPr>
          <w:rFonts w:ascii="宋体" w:hAnsi="宋体" w:cs="宋体"/>
          <w:b/>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14:textFill>
            <w14:solidFill>
              <w14:schemeClr w14:val="tx1"/>
            </w14:solidFill>
          </w14:textFill>
        </w:rPr>
      </w:pPr>
    </w:p>
    <w:p>
      <w:pPr>
        <w:pStyle w:val="99"/>
        <w:ind w:firstLine="561"/>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法人授权书</w:t>
      </w:r>
    </w:p>
    <w:p>
      <w:pPr>
        <w:pStyle w:val="99"/>
        <w:ind w:firstLine="561"/>
        <w:jc w:val="center"/>
        <w:rPr>
          <w:rFonts w:ascii="宋体" w:hAnsi="宋体" w:cs="宋体"/>
          <w:b/>
          <w:bCs/>
          <w:color w:val="000000" w:themeColor="text1"/>
          <w:sz w:val="32"/>
          <w:szCs w:val="32"/>
          <w14:textFill>
            <w14:solidFill>
              <w14:schemeClr w14:val="tx1"/>
            </w14:solidFill>
          </w14:textFill>
        </w:rPr>
      </w:pPr>
    </w:p>
    <w:p>
      <w:pPr>
        <w:pStyle w:val="99"/>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本授权书声明：____________（供应商名称）授权________________（被授权人的姓名）为我方就项目采购活动的合法代理人，以本公司名义全权处理一切与该项目采购有关的事务。</w:t>
      </w:r>
    </w:p>
    <w:p>
      <w:pPr>
        <w:pStyle w:val="99"/>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本授权书于______年____月____日起生效，特此声明。</w:t>
      </w:r>
    </w:p>
    <w:p>
      <w:pPr>
        <w:pStyle w:val="99"/>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代理人（被授权人）：_______________________</w:t>
      </w:r>
    </w:p>
    <w:p>
      <w:pPr>
        <w:pStyle w:val="99"/>
        <w:spacing w:line="360" w:lineRule="auto"/>
        <w:rPr>
          <w:rFonts w:ascii="宋体" w:hAnsi="宋体" w:cs="宋体"/>
          <w:color w:val="000000" w:themeColor="text1"/>
          <w14:textFill>
            <w14:solidFill>
              <w14:schemeClr w14:val="tx1"/>
            </w14:solidFill>
          </w14:textFill>
        </w:rPr>
      </w:pPr>
    </w:p>
    <w:p>
      <w:pPr>
        <w:pStyle w:val="99"/>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单位名称：_____________________________________</w:t>
      </w:r>
    </w:p>
    <w:p>
      <w:pPr>
        <w:pStyle w:val="99"/>
        <w:spacing w:line="360" w:lineRule="auto"/>
        <w:ind w:firstLine="480"/>
        <w:rPr>
          <w:rFonts w:ascii="宋体" w:hAnsi="宋体" w:cs="宋体"/>
          <w:color w:val="000000" w:themeColor="text1"/>
          <w14:textFill>
            <w14:solidFill>
              <w14:schemeClr w14:val="tx1"/>
            </w14:solidFill>
          </w14:textFill>
        </w:rPr>
      </w:pPr>
    </w:p>
    <w:p>
      <w:pPr>
        <w:pStyle w:val="99"/>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授权单位盖章：_________________________________</w:t>
      </w:r>
    </w:p>
    <w:p>
      <w:pPr>
        <w:pStyle w:val="99"/>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单位名称：_____________________________________</w:t>
      </w:r>
    </w:p>
    <w:p>
      <w:pPr>
        <w:pStyle w:val="99"/>
        <w:spacing w:line="360" w:lineRule="auto"/>
        <w:ind w:firstLine="48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地址：</w:t>
      </w:r>
    </w:p>
    <w:p>
      <w:pPr>
        <w:pStyle w:val="99"/>
        <w:spacing w:line="360" w:lineRule="auto"/>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日期：                    </w:t>
      </w:r>
    </w:p>
    <w:p>
      <w:pPr>
        <w:pStyle w:val="9"/>
        <w:spacing w:line="360" w:lineRule="auto"/>
        <w:rPr>
          <w:rFonts w:ascii="宋体" w:hAnsi="宋体" w:cs="宋体"/>
          <w:color w:val="000000" w:themeColor="text1"/>
          <w14:textFill>
            <w14:solidFill>
              <w14:schemeClr w14:val="tx1"/>
            </w14:solidFill>
          </w14:textFill>
        </w:rPr>
      </w:pPr>
      <w:bookmarkStart w:id="163" w:name="_Hlt26671380"/>
      <w:bookmarkEnd w:id="163"/>
      <w:bookmarkStart w:id="164" w:name="_Hlt26955070"/>
      <w:bookmarkEnd w:id="164"/>
      <w:bookmarkStart w:id="165" w:name="_格式3__银行出具的资信证明"/>
      <w:bookmarkEnd w:id="165"/>
    </w:p>
    <w:p>
      <w:pPr>
        <w:pStyle w:val="99"/>
        <w:ind w:firstLine="4216" w:firstLineChars="1750"/>
        <w:rPr>
          <w:rFonts w:ascii="宋体" w:hAnsi="宋体" w:cs="宋体"/>
          <w:b/>
          <w:bCs/>
          <w:color w:val="000000" w:themeColor="text1"/>
          <w:szCs w:val="21"/>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pStyle w:val="99"/>
        <w:ind w:firstLine="4216" w:firstLineChars="1750"/>
        <w:rPr>
          <w:rFonts w:ascii="宋体" w:hAnsi="宋体" w:cs="宋体"/>
          <w:b/>
          <w:bCs/>
          <w:color w:val="000000" w:themeColor="text1"/>
          <w:szCs w:val="2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p>
    <w:p>
      <w:pPr>
        <w:ind w:firstLine="30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投标人全称（加盖公章）：</w:t>
      </w:r>
    </w:p>
    <w:tbl>
      <w:tblPr>
        <w:tblStyle w:val="4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736"/>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是否响应（填是或者否）</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473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473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4736"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47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4736"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31"/>
        <w:rPr>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三、符合性检查响应对照表（格式）</w:t>
      </w:r>
    </w:p>
    <w:p>
      <w:pPr>
        <w:ind w:firstLine="309"/>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投标人全称（加盖公章）：</w:t>
      </w:r>
    </w:p>
    <w:tbl>
      <w:tblPr>
        <w:tblStyle w:val="4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169"/>
        <w:gridCol w:w="226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416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416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416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416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4169"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招标文件中的其他实质性要求</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14:textFill>
                  <w14:solidFill>
                    <w14:schemeClr w14:val="tx1"/>
                  </w14:solidFill>
                </w14:textFill>
              </w:rPr>
            </w:pPr>
          </w:p>
        </w:tc>
      </w:tr>
    </w:tbl>
    <w:p>
      <w:pPr>
        <w:spacing w:line="560" w:lineRule="exact"/>
        <w:jc w:val="center"/>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四、磋商响应函</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致：盐城工业职业技术学院：</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根据贵方的 </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磋商文件，正式授权下述签字人_________ (姓名和职务)代表我方______________（供应商的名称），全权处理本次项目磋商采购的有关事宜。</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据此函，__________（签字人）兹宣布同意如下：</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1.按磋商文件规定的各项要求，向买方提供所需服务。</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2.我们已详细审核全部磋商文件及其有效补充文件，我们知道必须放弃提出含糊不清或误解问题的权利。</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3.我们同意从规定的响应文件接收截止时间起遵循本响应文件，并在规定的磋商有效期期满之前均具有约束力。</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4.如果在响应文件接收截止时间后规定的磋商有效期内撤回响应文件或成交后拒绝签订合同，</w:t>
      </w:r>
      <w:r>
        <w:rPr>
          <w:rFonts w:hint="eastAsia" w:ascii="宋体" w:hAnsi="宋体" w:cs="宋体"/>
          <w:color w:val="000000" w:themeColor="text1"/>
          <w:szCs w:val="21"/>
          <w14:textFill>
            <w14:solidFill>
              <w14:schemeClr w14:val="tx1"/>
            </w14:solidFill>
          </w14:textFill>
        </w:rPr>
        <w:t>则按照国家相关法律法规受到相应处罚</w:t>
      </w:r>
      <w:r>
        <w:rPr>
          <w:rFonts w:hint="eastAsia" w:ascii="宋体" w:hAnsi="宋体" w:cs="宋体"/>
          <w:color w:val="000000" w:themeColor="text1"/>
          <w14:textFill>
            <w14:solidFill>
              <w14:schemeClr w14:val="tx1"/>
            </w14:solidFill>
          </w14:textFill>
        </w:rPr>
        <w:t>。</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5.同意向贵方提供贵方可能另外要求的与磋商采购有关的任何证据或资料，并保证我方已提供和将要提供的文件是真实的、准确的。</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6.一旦我方成交，我方将根据磋商文件的规定，严格履行合同的责任和义务，并保证在磋商文件规定的时间完成项目，交付买方验收、使用。</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7.遵守磋商文件中要求的收费项目和标准。</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8.与本磋商采购有关的正式通讯地址为：</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                         邮 编：</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 话：                         传 真：</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供应商开户行：                  账 户： </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法定代表人或授权代表姓名（签字）：     联系电话：</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供应商名称（公章）：            </w:t>
      </w:r>
    </w:p>
    <w:p>
      <w:pPr>
        <w:pStyle w:val="99"/>
        <w:spacing w:line="500" w:lineRule="exact"/>
        <w:ind w:firstLine="48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 期：________年____月____日</w:t>
      </w:r>
    </w:p>
    <w:p>
      <w:pPr>
        <w:pStyle w:val="16"/>
        <w:rPr>
          <w:rFonts w:ascii="宋体" w:hAnsi="宋体" w:cs="宋体"/>
          <w:color w:val="000000" w:themeColor="text1"/>
          <w14:textFill>
            <w14:solidFill>
              <w14:schemeClr w14:val="tx1"/>
            </w14:solidFill>
          </w14:textFill>
        </w:rPr>
      </w:pPr>
    </w:p>
    <w:p>
      <w:pPr>
        <w:pStyle w:val="8"/>
        <w:ind w:firstLine="3213" w:firstLineChars="1000"/>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开标一览表</w:t>
      </w:r>
    </w:p>
    <w:tbl>
      <w:tblPr>
        <w:tblStyle w:val="47"/>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163"/>
                <w:rFonts w:ascii="宋体" w:hAnsi="宋体" w:cs="宋体"/>
                <w:b/>
                <w:bCs/>
                <w:color w:val="000000" w:themeColor="text1"/>
                <w:szCs w:val="28"/>
                <w14:textFill>
                  <w14:solidFill>
                    <w14:schemeClr w14:val="tx1"/>
                  </w14:solidFill>
                </w14:textFill>
              </w:rPr>
            </w:pPr>
            <w:r>
              <w:rPr>
                <w:rStyle w:val="163"/>
                <w:rFonts w:hint="eastAsia" w:ascii="宋体" w:hAnsi="宋体" w:cs="宋体"/>
                <w:b/>
                <w:bCs/>
                <w:color w:val="000000" w:themeColor="text1"/>
                <w:szCs w:val="28"/>
                <w14:textFill>
                  <w14:solidFill>
                    <w14:schemeClr w14:val="tx1"/>
                  </w14:solidFill>
                </w14:textFill>
              </w:rPr>
              <w:t>项目编号</w:t>
            </w:r>
          </w:p>
        </w:tc>
        <w:tc>
          <w:tcPr>
            <w:tcW w:w="6329" w:type="dxa"/>
            <w:tcBorders>
              <w:top w:val="single" w:color="000000" w:sz="4" w:space="0"/>
              <w:left w:val="single" w:color="000000" w:sz="4" w:space="0"/>
              <w:bottom w:val="single" w:color="000000" w:sz="4" w:space="0"/>
              <w:right w:val="single" w:color="000000" w:sz="4" w:space="0"/>
            </w:tcBorders>
            <w:vAlign w:val="center"/>
          </w:tcPr>
          <w:p>
            <w:pPr>
              <w:rPr>
                <w:rStyle w:val="163"/>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163"/>
                <w:rFonts w:ascii="宋体" w:hAnsi="宋体" w:cs="宋体"/>
                <w:b/>
                <w:bCs/>
                <w:color w:val="000000" w:themeColor="text1"/>
                <w:szCs w:val="28"/>
                <w14:textFill>
                  <w14:solidFill>
                    <w14:schemeClr w14:val="tx1"/>
                  </w14:solidFill>
                </w14:textFill>
              </w:rPr>
            </w:pPr>
            <w:r>
              <w:rPr>
                <w:rStyle w:val="163"/>
                <w:rFonts w:hint="eastAsia" w:ascii="宋体" w:hAnsi="宋体" w:cs="宋体"/>
                <w:b/>
                <w:bCs/>
                <w:color w:val="000000" w:themeColor="text1"/>
                <w:szCs w:val="28"/>
                <w14:textFill>
                  <w14:solidFill>
                    <w14:schemeClr w14:val="tx1"/>
                  </w14:solidFill>
                </w14:textFill>
              </w:rPr>
              <w:t>项目名称</w:t>
            </w:r>
          </w:p>
        </w:tc>
        <w:tc>
          <w:tcPr>
            <w:tcW w:w="6329" w:type="dxa"/>
            <w:tcBorders>
              <w:top w:val="single" w:color="000000" w:sz="4" w:space="0"/>
              <w:left w:val="single" w:color="000000" w:sz="4" w:space="0"/>
              <w:bottom w:val="single" w:color="000000" w:sz="4" w:space="0"/>
              <w:right w:val="single" w:color="000000" w:sz="4" w:space="0"/>
            </w:tcBorders>
            <w:vAlign w:val="center"/>
          </w:tcPr>
          <w:p>
            <w:pPr>
              <w:rPr>
                <w:rStyle w:val="163"/>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67"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3"/>
                <w:rFonts w:ascii="宋体" w:hAnsi="宋体" w:cs="宋体"/>
                <w:b/>
                <w:bCs/>
                <w:color w:val="000000" w:themeColor="text1"/>
                <w:szCs w:val="28"/>
                <w14:textFill>
                  <w14:solidFill>
                    <w14:schemeClr w14:val="tx1"/>
                  </w14:solidFill>
                </w14:textFill>
              </w:rPr>
            </w:pPr>
            <w:r>
              <w:rPr>
                <w:rStyle w:val="163"/>
                <w:rFonts w:hint="eastAsia" w:ascii="宋体" w:hAnsi="宋体" w:cs="宋体"/>
                <w:b/>
                <w:bCs/>
                <w:color w:val="000000" w:themeColor="text1"/>
                <w:szCs w:val="28"/>
                <w14:textFill>
                  <w14:solidFill>
                    <w14:schemeClr w14:val="tx1"/>
                  </w14:solidFill>
                </w14:textFill>
              </w:rPr>
              <w:t>项目投标报价：</w:t>
            </w:r>
          </w:p>
          <w:p>
            <w:pPr>
              <w:pStyle w:val="56"/>
              <w:ind w:firstLine="420"/>
            </w:pPr>
          </w:p>
          <w:p>
            <w:pPr>
              <w:pStyle w:val="6"/>
              <w:spacing w:after="0" w:line="360" w:lineRule="auto"/>
              <w:ind w:firstLine="422" w:firstLineChars="200"/>
              <w:rPr>
                <w:rFonts w:ascii="宋体" w:hAnsi="宋体"/>
                <w:b/>
                <w:lang w:val="zh-TW"/>
              </w:rPr>
            </w:pPr>
            <w:r>
              <w:rPr>
                <w:rFonts w:hint="eastAsia" w:ascii="宋体" w:hAnsi="宋体"/>
                <w:b/>
                <w:lang w:val="zh-TW"/>
              </w:rPr>
              <w:t>使用</w:t>
            </w:r>
            <w:r>
              <w:rPr>
                <w:rFonts w:hint="eastAsia" w:ascii="宋体" w:hAnsi="宋体"/>
                <w:b/>
              </w:rPr>
              <w:t>每</w:t>
            </w:r>
            <w:r>
              <w:rPr>
                <w:rFonts w:ascii="宋体" w:hAnsi="宋体"/>
                <w:b/>
                <w:lang w:val="zh-TW"/>
              </w:rPr>
              <w:t>分钟最高限价：</w:t>
            </w:r>
            <w:r>
              <w:rPr>
                <w:rFonts w:hint="eastAsia" w:ascii="宋体" w:hAnsi="宋体"/>
                <w:b/>
              </w:rPr>
              <w:t xml:space="preserve">   </w:t>
            </w:r>
            <w:r>
              <w:rPr>
                <w:rFonts w:ascii="宋体" w:hAnsi="宋体"/>
                <w:b/>
                <w:lang w:val="zh-TW"/>
              </w:rPr>
              <w:t>元</w:t>
            </w:r>
          </w:p>
          <w:p>
            <w:pPr>
              <w:ind w:firstLine="422" w:firstLineChars="200"/>
              <w:rPr>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3"/>
                <w:rFonts w:ascii="宋体" w:hAnsi="宋体" w:cs="宋体"/>
                <w:b/>
                <w:bCs/>
                <w:color w:val="000000" w:themeColor="text1"/>
                <w:szCs w:val="28"/>
                <w14:textFill>
                  <w14:solidFill>
                    <w14:schemeClr w14:val="tx1"/>
                  </w14:solidFill>
                </w14:textFill>
              </w:rPr>
            </w:pPr>
            <w:r>
              <w:rPr>
                <w:rStyle w:val="163"/>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3"/>
                <w:rFonts w:ascii="宋体" w:hAnsi="宋体" w:cs="宋体"/>
                <w:b/>
                <w:bCs/>
                <w:color w:val="000000" w:themeColor="text1"/>
                <w:szCs w:val="28"/>
                <w14:textFill>
                  <w14:solidFill>
                    <w14:schemeClr w14:val="tx1"/>
                  </w14:solidFill>
                </w14:textFill>
              </w:rPr>
            </w:pPr>
            <w:r>
              <w:rPr>
                <w:rStyle w:val="163"/>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9029" w:type="dxa"/>
            <w:gridSpan w:val="2"/>
            <w:tcBorders>
              <w:top w:val="single" w:color="000000" w:sz="4" w:space="0"/>
              <w:left w:val="single" w:color="000000" w:sz="4" w:space="0"/>
              <w:bottom w:val="single" w:color="000000" w:sz="4" w:space="0"/>
              <w:right w:val="single" w:color="000000" w:sz="4" w:space="0"/>
            </w:tcBorders>
            <w:vAlign w:val="center"/>
          </w:tcPr>
          <w:p>
            <w:pPr>
              <w:rPr>
                <w:rStyle w:val="163"/>
                <w:rFonts w:ascii="宋体" w:hAnsi="宋体" w:cs="宋体"/>
                <w:b/>
                <w:bCs/>
                <w:color w:val="000000" w:themeColor="text1"/>
                <w:szCs w:val="28"/>
                <w14:textFill>
                  <w14:solidFill>
                    <w14:schemeClr w14:val="tx1"/>
                  </w14:solidFill>
                </w14:textFill>
              </w:rPr>
            </w:pPr>
            <w:r>
              <w:rPr>
                <w:rStyle w:val="163"/>
                <w:rFonts w:hint="eastAsia" w:ascii="宋体" w:hAnsi="宋体" w:cs="宋体"/>
                <w:b/>
                <w:bCs/>
                <w:color w:val="000000" w:themeColor="text1"/>
                <w:szCs w:val="28"/>
                <w14:textFill>
                  <w14:solidFill>
                    <w14:schemeClr w14:val="tx1"/>
                  </w14:solidFill>
                </w14:textFill>
              </w:rPr>
              <w:t>是否提供《企业类型声明函》：</w:t>
            </w:r>
            <w:r>
              <w:rPr>
                <w:rStyle w:val="163"/>
                <w:rFonts w:hint="eastAsia" w:ascii="宋体" w:hAnsi="宋体" w:cs="宋体"/>
                <w:b/>
                <w:bCs/>
                <w:color w:val="000000" w:themeColor="text1"/>
                <w:szCs w:val="28"/>
                <w:u w:val="single"/>
                <w14:textFill>
                  <w14:solidFill>
                    <w14:schemeClr w14:val="tx1"/>
                  </w14:solidFill>
                </w14:textFill>
              </w:rPr>
              <w:t xml:space="preserve"> 是/否 见（   ）页</w:t>
            </w: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填写说明：开标一览表不得填报选择性报价，否则将作为无效投标；</w:t>
      </w:r>
    </w:p>
    <w:p>
      <w:pPr>
        <w:rPr>
          <w:rFonts w:ascii="宋体" w:hAnsi="宋体" w:cs="宋体"/>
          <w:color w:val="000000" w:themeColor="text1"/>
          <w:sz w:val="24"/>
          <w14:textFill>
            <w14:solidFill>
              <w14:schemeClr w14:val="tx1"/>
            </w14:solidFill>
          </w14:textFill>
        </w:rPr>
      </w:pPr>
    </w:p>
    <w:p>
      <w:pPr>
        <w:ind w:firstLine="2640" w:firstLineChars="600"/>
        <w:rPr>
          <w:rFonts w:ascii="宋体" w:hAnsi="宋体" w:cs="宋体"/>
          <w:color w:val="000000" w:themeColor="text1"/>
          <w:sz w:val="4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right="480" w:firstLine="48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供应商名称（公章）：</w:t>
      </w:r>
    </w:p>
    <w:p>
      <w:pPr>
        <w:ind w:firstLine="480"/>
        <w:jc w:val="center"/>
        <w:rPr>
          <w:rFonts w:ascii="宋体" w:hAnsi="宋体" w:cs="宋体"/>
          <w:color w:val="000000" w:themeColor="text1"/>
          <w:sz w:val="24"/>
          <w14:textFill>
            <w14:solidFill>
              <w14:schemeClr w14:val="tx1"/>
            </w14:solidFill>
          </w14:textFill>
        </w:rPr>
      </w:pPr>
    </w:p>
    <w:p>
      <w:pPr>
        <w:ind w:firstLine="48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jc w:val="center"/>
        <w:rPr>
          <w:rFonts w:ascii="宋体" w:hAnsi="宋体" w:cs="宋体"/>
          <w:color w:val="000000" w:themeColor="text1"/>
          <w:sz w:val="24"/>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44"/>
          <w14:textFill>
            <w14:solidFill>
              <w14:schemeClr w14:val="tx1"/>
            </w14:solidFill>
          </w14:textFill>
        </w:rPr>
      </w:pPr>
    </w:p>
    <w:p>
      <w:pPr>
        <w:pStyle w:val="46"/>
        <w:ind w:firstLine="210"/>
        <w:rPr>
          <w:rFonts w:ascii="宋体" w:hAnsi="宋体" w:cs="宋体"/>
          <w:color w:val="000000" w:themeColor="text1"/>
          <w14:textFill>
            <w14:solidFill>
              <w14:schemeClr w14:val="tx1"/>
            </w14:solidFill>
          </w14:textFill>
        </w:rPr>
      </w:pPr>
    </w:p>
    <w:p>
      <w:pPr>
        <w:pStyle w:val="46"/>
        <w:ind w:firstLine="210"/>
        <w:rPr>
          <w:rFonts w:ascii="宋体" w:hAnsi="宋体" w:cs="宋体"/>
          <w:color w:val="000000" w:themeColor="text1"/>
          <w14:textFill>
            <w14:solidFill>
              <w14:schemeClr w14:val="tx1"/>
            </w14:solidFill>
          </w14:textFill>
        </w:rPr>
      </w:pPr>
    </w:p>
    <w:p/>
    <w:p>
      <w:pPr>
        <w:pStyle w:val="46"/>
        <w:ind w:firstLine="210"/>
        <w:rPr>
          <w:rFonts w:ascii="宋体" w:hAnsi="宋体" w:cs="宋体"/>
          <w:color w:val="000000" w:themeColor="text1"/>
          <w14:textFill>
            <w14:solidFill>
              <w14:schemeClr w14:val="tx1"/>
            </w14:solidFill>
          </w14:textFill>
        </w:rPr>
      </w:pPr>
    </w:p>
    <w:p>
      <w:pPr>
        <w:spacing w:line="560" w:lineRule="exact"/>
        <w:jc w:val="center"/>
        <w:rPr>
          <w:rFonts w:ascii="宋体" w:hAnsi="宋体"/>
          <w:b/>
          <w:bCs/>
          <w:color w:val="000000" w:themeColor="text1"/>
          <w:sz w:val="32"/>
          <w:szCs w:val="32"/>
          <w14:textFill>
            <w14:solidFill>
              <w14:schemeClr w14:val="tx1"/>
            </w14:solidFill>
          </w14:textFill>
        </w:rPr>
      </w:pPr>
      <w:bookmarkStart w:id="166" w:name="_Hlt26955054"/>
      <w:bookmarkEnd w:id="166"/>
      <w:r>
        <w:rPr>
          <w:rFonts w:hint="eastAsia" w:ascii="宋体" w:hAnsi="宋体"/>
          <w:b/>
          <w:bCs/>
          <w:color w:val="000000" w:themeColor="text1"/>
          <w:sz w:val="28"/>
          <w:szCs w:val="28"/>
          <w14:textFill>
            <w14:solidFill>
              <w14:schemeClr w14:val="tx1"/>
            </w14:solidFill>
          </w14:textFill>
        </w:rPr>
        <w:t>中小企业声明函（工程、服务）</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i/>
          <w:iCs/>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i/>
          <w:iCs/>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6"/>
        </w:num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宋体" w:hAnsi="宋体" w:cs="宋体"/>
          <w:i/>
          <w:iCs/>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行业；承接（承接）企业为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widowControl/>
        <w:numPr>
          <w:ilvl w:val="0"/>
          <w:numId w:val="6"/>
        </w:num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宋体" w:hAnsi="宋体" w:cs="宋体"/>
          <w:i/>
          <w:iCs/>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行业；承接（承接）企业为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spacing w:line="360" w:lineRule="auto"/>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企业名称（盖章）：</w:t>
      </w:r>
    </w:p>
    <w:p>
      <w:pPr>
        <w:widowControl/>
        <w:spacing w:line="360" w:lineRule="auto"/>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pPr>
        <w:spacing w:line="360" w:lineRule="auto"/>
        <w:jc w:val="center"/>
        <w:rPr>
          <w:rFonts w:ascii="宋体" w:hAnsi="宋体"/>
          <w:b/>
          <w:bCs/>
          <w:color w:val="000000" w:themeColor="text1"/>
          <w:sz w:val="22"/>
          <w:szCs w:val="22"/>
          <w14:textFill>
            <w14:solidFill>
              <w14:schemeClr w14:val="tx1"/>
            </w14:solidFill>
          </w14:textFill>
        </w:rPr>
        <w:sectPr>
          <w:pgSz w:w="11911" w:h="16838"/>
          <w:pgMar w:top="1587" w:right="1587" w:bottom="1587" w:left="1587" w:header="720" w:footer="720" w:gutter="0"/>
          <w:cols w:space="0" w:num="1"/>
          <w:docGrid w:linePitch="290" w:charSpace="0"/>
        </w:sectPr>
      </w:pPr>
      <w:r>
        <w:rPr>
          <w:rFonts w:hint="eastAsia" w:ascii="宋体" w:hAnsi="宋体"/>
          <w:b/>
          <w:bCs/>
          <w:color w:val="000000" w:themeColor="text1"/>
          <w:sz w:val="22"/>
          <w:szCs w:val="22"/>
          <w14:textFill>
            <w14:solidFill>
              <w14:schemeClr w14:val="tx1"/>
            </w14:solidFill>
          </w14:textFill>
        </w:rPr>
        <w:t>从业人员、营业收入、资产总额填报上一年度数据，无上一年度数据的新成立企业可不填报。</w:t>
      </w:r>
    </w:p>
    <w:p>
      <w:pPr>
        <w:spacing w:line="560" w:lineRule="exact"/>
        <w:jc w:val="center"/>
        <w:rPr>
          <w:rFonts w:ascii="宋体" w:hAnsi="宋体"/>
          <w:b/>
          <w:bCs/>
          <w:color w:val="000000" w:themeColor="text1"/>
          <w14:textFill>
            <w14:solidFill>
              <w14:schemeClr w14:val="tx1"/>
            </w14:solidFill>
          </w14:textFill>
        </w:rPr>
      </w:pPr>
    </w:p>
    <w:p>
      <w:pPr>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本单位对上述声明的真实性负责。如有虚假，将依法承担相应责任。</w:t>
      </w:r>
    </w:p>
    <w:p>
      <w:pPr>
        <w:spacing w:line="500" w:lineRule="exact"/>
        <w:rPr>
          <w:rFonts w:ascii="宋体" w:hAnsi="宋体"/>
          <w:color w:val="000000" w:themeColor="text1"/>
          <w:kern w:val="0"/>
          <w:sz w:val="24"/>
          <w14:textFill>
            <w14:solidFill>
              <w14:schemeClr w14:val="tx1"/>
            </w14:solidFill>
          </w14:textFill>
        </w:rPr>
      </w:pPr>
    </w:p>
    <w:p>
      <w:pPr>
        <w:spacing w:line="500" w:lineRule="exact"/>
        <w:ind w:firstLine="3360" w:firstLineChars="1400"/>
        <w:jc w:val="left"/>
        <w:rPr>
          <w:rStyle w:val="161"/>
          <w:color w:val="000000" w:themeColor="text1"/>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残疾人福利性</w:t>
      </w:r>
      <w:r>
        <w:rPr>
          <w:rFonts w:hint="eastAsia" w:ascii="宋体" w:hAnsi="宋体"/>
          <w:color w:val="000000" w:themeColor="text1"/>
          <w:sz w:val="24"/>
          <w14:textFill>
            <w14:solidFill>
              <w14:schemeClr w14:val="tx1"/>
            </w14:solidFill>
          </w14:textFill>
        </w:rPr>
        <w:t>单位名称（盖章）：</w:t>
      </w:r>
      <w:r>
        <w:rPr>
          <w:rFonts w:hint="eastAsia" w:ascii="宋体" w:hAnsi="宋体"/>
          <w:color w:val="000000" w:themeColor="text1"/>
          <w:sz w:val="24"/>
          <w:u w:val="single"/>
          <w14:textFill>
            <w14:solidFill>
              <w14:schemeClr w14:val="tx1"/>
            </w14:solidFill>
          </w14:textFill>
        </w:rPr>
        <w:t xml:space="preserve">                </w:t>
      </w:r>
    </w:p>
    <w:p>
      <w:pPr>
        <w:spacing w:line="500" w:lineRule="exact"/>
        <w:ind w:firstLine="3360" w:firstLineChars="1400"/>
        <w:jc w:val="left"/>
        <w:rPr>
          <w:rFonts w:asci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Style w:val="161"/>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 期：</w:t>
      </w:r>
      <w:r>
        <w:rPr>
          <w:rFonts w:hint="eastAsia" w:ascii="宋体" w:hAnsi="宋体"/>
          <w:color w:val="000000" w:themeColor="text1"/>
          <w:sz w:val="24"/>
          <w:u w:val="single"/>
          <w14:textFill>
            <w14:solidFill>
              <w14:schemeClr w14:val="tx1"/>
            </w14:solidFill>
          </w14:textFill>
        </w:rPr>
        <w:t xml:space="preserve">                                    </w:t>
      </w:r>
    </w:p>
    <w:p>
      <w:pPr>
        <w:jc w:val="cente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rFonts w:ascii="宋体" w:hAnsi="宋体" w:cs="宋体"/>
          <w:b/>
          <w:color w:val="000000" w:themeColor="text1"/>
          <w:sz w:val="32"/>
          <w:szCs w:val="32"/>
          <w14:textFill>
            <w14:solidFill>
              <w14:schemeClr w14:val="tx1"/>
            </w14:solidFill>
          </w14:textFill>
        </w:rPr>
      </w:pPr>
    </w:p>
    <w:p>
      <w:pPr>
        <w:pStyle w:val="36"/>
        <w:ind w:left="3360"/>
        <w:rPr>
          <w:rFonts w:ascii="宋体" w:hAnsi="宋体" w:cs="宋体"/>
          <w:b/>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bookmarkEnd w:id="142"/>
    <w:bookmarkEnd w:id="143"/>
    <w:bookmarkEnd w:id="144"/>
    <w:bookmarkEnd w:id="155"/>
    <w:bookmarkEnd w:id="156"/>
    <w:bookmarkEnd w:id="157"/>
    <w:bookmarkEnd w:id="158"/>
    <w:bookmarkEnd w:id="159"/>
    <w:bookmarkEnd w:id="160"/>
    <w:bookmarkEnd w:id="161"/>
    <w:bookmarkEnd w:id="162"/>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六、项目负责人及服务团队人员一览表</w:t>
      </w:r>
    </w:p>
    <w:tbl>
      <w:tblPr>
        <w:tblStyle w:val="47"/>
        <w:tblW w:w="864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187"/>
        <w:gridCol w:w="893"/>
        <w:gridCol w:w="993"/>
        <w:gridCol w:w="1275"/>
        <w:gridCol w:w="851"/>
        <w:gridCol w:w="407"/>
        <w:gridCol w:w="869"/>
        <w:gridCol w:w="184"/>
        <w:gridCol w:w="19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供应商：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10"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项目负责人：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25"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姓名</w:t>
            </w: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性别</w:t>
            </w: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年龄</w:t>
            </w: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Style w:val="52"/>
                <w:rFonts w:ascii="宋体" w:hAnsi="宋体"/>
                <w:color w:val="000000" w:themeColor="text1"/>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职务</w:t>
            </w:r>
          </w:p>
          <w:p>
            <w:pPr>
              <w:spacing w:line="500" w:lineRule="exact"/>
              <w:jc w:val="center"/>
              <w:rPr>
                <w:rFonts w:ascii="宋体" w:hAnsi="宋体"/>
                <w:color w:val="000000" w:themeColor="text1"/>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职称</w:t>
            </w: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业务专业</w:t>
            </w:r>
          </w:p>
        </w:tc>
        <w:tc>
          <w:tcPr>
            <w:tcW w:w="1276"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学历</w:t>
            </w:r>
          </w:p>
        </w:tc>
        <w:tc>
          <w:tcPr>
            <w:tcW w:w="2167"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从事相关工作年限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6"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2167"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8" w:hRule="atLeast"/>
          <w:jc w:val="center"/>
        </w:trPr>
        <w:tc>
          <w:tcPr>
            <w:tcW w:w="8642" w:type="dxa"/>
            <w:gridSpan w:val="9"/>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主要人员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25"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姓名</w:t>
            </w: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性别</w:t>
            </w: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年龄</w:t>
            </w: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职务    职称</w:t>
            </w: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业务    专业</w:t>
            </w: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学历</w:t>
            </w: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500" w:lineRule="exact"/>
              <w:jc w:val="center"/>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从事相关工作年限</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0" w:hRule="atLeast"/>
          <w:jc w:val="center"/>
        </w:trPr>
        <w:tc>
          <w:tcPr>
            <w:tcW w:w="118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258"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053"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c>
          <w:tcPr>
            <w:tcW w:w="198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ascii="宋体" w:hAnsi="宋体" w:cs="宋体"/>
                <w:color w:val="000000" w:themeColor="text1"/>
                <w:sz w:val="24"/>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r>
        <w:rPr>
          <w:rStyle w:val="52"/>
          <w:rFonts w:hint="eastAsia" w:ascii="宋体" w:hAnsi="宋体" w:cs="宋体"/>
          <w:color w:val="000000" w:themeColor="text1"/>
          <w:sz w:val="24"/>
          <w14:textFill>
            <w14:solidFill>
              <w14:schemeClr w14:val="tx1"/>
            </w14:solidFill>
          </w14:textFill>
        </w:rPr>
        <w:t>注：1.项目负责人是本项目的技术核心人员，须是该项目实施全过程的真正组织者和领导者，担负实质性项目工作。项目负责人需要有较强的组织和协调能力，具有承担类似研究项目的成功经验，并有较高的理论素养和分析解决问题的能力。</w:t>
      </w:r>
    </w:p>
    <w:p>
      <w:pPr>
        <w:pStyle w:val="46"/>
        <w:ind w:firstLine="241"/>
        <w:rPr>
          <w:rFonts w:ascii="宋体" w:hAnsi="宋体" w:cs="宋体"/>
          <w:b/>
          <w:color w:val="000000" w:themeColor="text1"/>
          <w:sz w:val="24"/>
          <w14:textFill>
            <w14:solidFill>
              <w14:schemeClr w14:val="tx1"/>
            </w14:solidFill>
          </w14:textFill>
        </w:rPr>
      </w:pPr>
    </w:p>
    <w:p>
      <w:pPr>
        <w:pStyle w:val="46"/>
        <w:ind w:firstLine="241"/>
        <w:rPr>
          <w:rFonts w:ascii="宋体" w:hAnsi="宋体" w:cs="宋体"/>
          <w:b/>
          <w:color w:val="000000" w:themeColor="text1"/>
          <w:sz w:val="24"/>
          <w14:textFill>
            <w14:solidFill>
              <w14:schemeClr w14:val="tx1"/>
            </w14:solidFill>
          </w14:textFill>
        </w:rPr>
      </w:pPr>
    </w:p>
    <w:p>
      <w:pPr>
        <w:pStyle w:val="46"/>
        <w:ind w:firstLine="241"/>
        <w:rPr>
          <w:rFonts w:ascii="宋体" w:hAnsi="宋体" w:cs="宋体"/>
          <w:b/>
          <w:color w:val="000000" w:themeColor="text1"/>
          <w:sz w:val="24"/>
          <w14:textFill>
            <w14:solidFill>
              <w14:schemeClr w14:val="tx1"/>
            </w14:solidFill>
          </w14:textFill>
        </w:rPr>
      </w:pPr>
    </w:p>
    <w:p>
      <w:pPr>
        <w:pStyle w:val="46"/>
        <w:ind w:firstLine="241"/>
        <w:rPr>
          <w:rFonts w:ascii="宋体" w:hAnsi="宋体" w:cs="宋体"/>
          <w:b/>
          <w:color w:val="000000" w:themeColor="text1"/>
          <w:sz w:val="24"/>
          <w14:textFill>
            <w14:solidFill>
              <w14:schemeClr w14:val="tx1"/>
            </w14:solidFill>
          </w14:textFill>
        </w:rPr>
      </w:pPr>
    </w:p>
    <w:p>
      <w:pPr>
        <w:pStyle w:val="46"/>
        <w:ind w:firstLine="241"/>
        <w:rPr>
          <w:rFonts w:ascii="宋体" w:hAnsi="宋体" w:cs="宋体"/>
          <w:b/>
          <w:color w:val="000000" w:themeColor="text1"/>
          <w:sz w:val="24"/>
          <w14:textFill>
            <w14:solidFill>
              <w14:schemeClr w14:val="tx1"/>
            </w14:solidFill>
          </w14:textFill>
        </w:rPr>
      </w:pPr>
    </w:p>
    <w:p>
      <w:pPr>
        <w:pStyle w:val="46"/>
        <w:ind w:firstLine="241"/>
        <w:rPr>
          <w:rFonts w:ascii="宋体" w:hAnsi="宋体" w:cs="宋体"/>
          <w:b/>
          <w:color w:val="000000" w:themeColor="text1"/>
          <w:sz w:val="24"/>
          <w14:textFill>
            <w14:solidFill>
              <w14:schemeClr w14:val="tx1"/>
            </w14:solidFill>
          </w14:textFill>
        </w:rPr>
      </w:pPr>
    </w:p>
    <w:p>
      <w:pPr>
        <w:pStyle w:val="46"/>
        <w:ind w:firstLine="241"/>
        <w:rPr>
          <w:rFonts w:ascii="宋体" w:hAnsi="宋体" w:cs="宋体"/>
          <w:b/>
          <w:color w:val="000000" w:themeColor="text1"/>
          <w:sz w:val="24"/>
          <w14:textFill>
            <w14:solidFill>
              <w14:schemeClr w14:val="tx1"/>
            </w14:solidFill>
          </w14:textFill>
        </w:rPr>
      </w:pPr>
    </w:p>
    <w:p>
      <w:pPr>
        <w:pStyle w:val="46"/>
        <w:ind w:firstLine="241"/>
        <w:rPr>
          <w:rFonts w:ascii="宋体" w:hAnsi="宋体" w:cs="宋体"/>
          <w:b/>
          <w:color w:val="000000" w:themeColor="text1"/>
          <w:sz w:val="24"/>
          <w14:textFill>
            <w14:solidFill>
              <w14:schemeClr w14:val="tx1"/>
            </w14:solidFill>
          </w14:textFill>
        </w:rPr>
      </w:pPr>
    </w:p>
    <w:p>
      <w:pPr>
        <w:pStyle w:val="46"/>
        <w:ind w:firstLine="241"/>
        <w:rPr>
          <w:rFonts w:ascii="宋体" w:hAnsi="宋体" w:cs="宋体"/>
          <w:b/>
          <w:color w:val="000000" w:themeColor="text1"/>
          <w:sz w:val="24"/>
          <w14:textFill>
            <w14:solidFill>
              <w14:schemeClr w14:val="tx1"/>
            </w14:solidFill>
          </w14:textFill>
        </w:rPr>
      </w:pPr>
    </w:p>
    <w:p>
      <w:pPr>
        <w:rPr>
          <w:color w:val="000000" w:themeColor="text1"/>
          <w14:textFill>
            <w14:solidFill>
              <w14:schemeClr w14:val="tx1"/>
            </w14:solidFill>
          </w14:textFill>
        </w:rPr>
      </w:pPr>
    </w:p>
    <w:p>
      <w:pPr>
        <w:ind w:firstLine="700"/>
        <w:jc w:val="center"/>
        <w:rPr>
          <w:rFonts w:ascii="宋体" w:hAnsi="宋体" w:cs="宋体"/>
          <w:color w:val="000000" w:themeColor="text1"/>
          <w:sz w:val="32"/>
          <w:szCs w:val="32"/>
          <w14:textFill>
            <w14:solidFill>
              <w14:schemeClr w14:val="tx1"/>
            </w14:solidFill>
          </w14:textFill>
        </w:rPr>
      </w:pPr>
    </w:p>
    <w:p>
      <w:pPr>
        <w:ind w:firstLine="700"/>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七、技术方案、服务承诺等</w:t>
      </w: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pStyle w:val="46"/>
        <w:ind w:firstLine="320"/>
        <w:rPr>
          <w:rFonts w:ascii="宋体" w:hAnsi="宋体" w:cs="宋体"/>
          <w:color w:val="000000" w:themeColor="text1"/>
          <w:sz w:val="32"/>
          <w:szCs w:val="32"/>
          <w14:textFill>
            <w14:solidFill>
              <w14:schemeClr w14:val="tx1"/>
            </w14:solidFill>
          </w14:textFill>
        </w:rPr>
      </w:pPr>
    </w:p>
    <w:p>
      <w:pPr>
        <w:pStyle w:val="46"/>
        <w:ind w:firstLine="320"/>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八、盐城市政府采购事前信用承诺书</w:t>
      </w:r>
    </w:p>
    <w:p>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（六）自觉接受政府、行业组织、社会公众、新闻舆论的监督；</w:t>
      </w:r>
    </w:p>
    <w:p>
      <w:pPr>
        <w:widowControl/>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（八）本人已认真阅读了上述承诺，并向本单位员工作了宣传教育。</w:t>
      </w:r>
    </w:p>
    <w:p>
      <w:pPr>
        <w:widowControl/>
        <w:spacing w:line="500" w:lineRule="exact"/>
        <w:jc w:val="left"/>
        <w:rPr>
          <w:rFonts w:ascii="宋体" w:hAnsi="宋体" w:cs="宋体"/>
          <w:color w:val="000000" w:themeColor="text1"/>
          <w:sz w:val="24"/>
          <w14:textFill>
            <w14:solidFill>
              <w14:schemeClr w14:val="tx1"/>
            </w14:solidFill>
          </w14:textFill>
        </w:rPr>
      </w:pPr>
    </w:p>
    <w:p>
      <w:pPr>
        <w:widowControl/>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法定代表人签名：</w:t>
      </w:r>
    </w:p>
    <w:p>
      <w:pPr>
        <w:widowControl/>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单位名称（盖章）：</w:t>
      </w:r>
    </w:p>
    <w:p>
      <w:pPr>
        <w:widowControl/>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pStyle w:val="31"/>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九、招标文件及评标办法中要求提供的其他材料</w:t>
      </w: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lang w:bidi="ar"/>
          <w14:textFill>
            <w14:solidFill>
              <w14:schemeClr w14:val="tx1"/>
            </w14:solidFill>
          </w14:textFill>
        </w:rPr>
      </w:pPr>
    </w:p>
    <w:p>
      <w:pPr>
        <w:snapToGrid w:val="0"/>
        <w:spacing w:before="312" w:beforeLines="100" w:after="312" w:afterLines="100"/>
        <w:ind w:left="420" w:leftChars="200"/>
        <w:jc w:val="center"/>
        <w:rPr>
          <w:rFonts w:ascii="宋体" w:hAnsi="宋体" w:cs="宋体"/>
          <w:b/>
          <w:bCs/>
          <w:color w:val="000000" w:themeColor="text1"/>
          <w:sz w:val="32"/>
          <w:szCs w:val="32"/>
          <w14:textFill>
            <w14:solidFill>
              <w14:schemeClr w14:val="tx1"/>
            </w14:solidFill>
          </w14:textFill>
        </w:rPr>
      </w:pPr>
    </w:p>
    <w:p>
      <w:pPr>
        <w:snapToGrid w:val="0"/>
        <w:spacing w:before="312" w:beforeLines="100" w:after="312" w:afterLines="100"/>
        <w:ind w:left="420" w:leftChars="20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盐城工业职业技术学院学生宿舍吹风机安装及运营项目</w:t>
      </w:r>
    </w:p>
    <w:p>
      <w:pPr>
        <w:snapToGrid w:val="0"/>
        <w:spacing w:before="312" w:beforeLines="100" w:after="312" w:afterLines="100"/>
        <w:ind w:left="420" w:left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bidi="ar"/>
          <w14:textFill>
            <w14:solidFill>
              <w14:schemeClr w14:val="tx1"/>
            </w14:solidFill>
          </w14:textFill>
        </w:rPr>
        <w:t>竞争性磋商报价表</w:t>
      </w:r>
    </w:p>
    <w:p>
      <w:pPr>
        <w:widowControl/>
        <w:jc w:val="center"/>
        <w:rPr>
          <w:color w:val="000000" w:themeColor="text1"/>
          <w14:textFill>
            <w14:solidFill>
              <w14:schemeClr w14:val="tx1"/>
            </w14:solidFill>
          </w14:textFill>
        </w:rPr>
      </w:pPr>
      <w:r>
        <w:rPr>
          <w:rFonts w:hint="eastAsia" w:ascii="宋体" w:hAnsi="宋体"/>
          <w:b/>
          <w:bCs/>
          <w:color w:val="000000" w:themeColor="text1"/>
          <w:sz w:val="32"/>
          <w:szCs w:val="32"/>
          <w:u w:val="single"/>
          <w:lang w:bidi="ar"/>
          <w14:textFill>
            <w14:solidFill>
              <w14:schemeClr w14:val="tx1"/>
            </w14:solidFill>
          </w14:textFill>
        </w:rPr>
        <w:t>第        轮</w:t>
      </w:r>
      <w:r>
        <w:rPr>
          <w:rFonts w:hint="eastAsia" w:ascii="宋体" w:hAnsi="宋体"/>
          <w:b/>
          <w:bCs/>
          <w:color w:val="000000" w:themeColor="text1"/>
          <w:sz w:val="32"/>
          <w:szCs w:val="32"/>
          <w:lang w:bidi="ar"/>
          <w14:textFill>
            <w14:solidFill>
              <w14:schemeClr w14:val="tx1"/>
            </w14:solidFill>
          </w14:textFill>
        </w:rPr>
        <w:t>报价和说明</w:t>
      </w:r>
    </w:p>
    <w:p>
      <w:pPr>
        <w:snapToGrid w:val="0"/>
        <w:spacing w:line="360" w:lineRule="auto"/>
        <w:jc w:val="center"/>
        <w:rPr>
          <w:rFonts w:ascii="宋体" w:hAnsi="宋体"/>
          <w:b/>
          <w:color w:val="000000" w:themeColor="text1"/>
          <w:sz w:val="32"/>
          <w:szCs w:val="32"/>
          <w14:textFill>
            <w14:solidFill>
              <w14:schemeClr w14:val="tx1"/>
            </w14:solidFill>
          </w14:textFill>
        </w:rPr>
      </w:pP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报价（元）：</w:t>
      </w:r>
    </w:p>
    <w:p>
      <w:pPr>
        <w:snapToGrid w:val="0"/>
        <w:spacing w:line="360" w:lineRule="auto"/>
        <w:ind w:firstLine="2530" w:firstLineChars="900"/>
        <w:rPr>
          <w:rFonts w:ascii="宋体" w:hAnsi="宋体"/>
          <w:b/>
          <w:color w:val="000000" w:themeColor="text1"/>
          <w:sz w:val="28"/>
          <w:szCs w:val="28"/>
          <w:lang w:val="zh-TW"/>
          <w14:textFill>
            <w14:solidFill>
              <w14:schemeClr w14:val="tx1"/>
            </w14:solidFill>
          </w14:textFill>
        </w:rPr>
      </w:pPr>
      <w:r>
        <w:rPr>
          <w:rFonts w:hint="eastAsia" w:ascii="宋体" w:hAnsi="宋体"/>
          <w:b/>
          <w:color w:val="000000" w:themeColor="text1"/>
          <w:sz w:val="28"/>
          <w:szCs w:val="28"/>
          <w:lang w:val="zh-TW"/>
          <w14:textFill>
            <w14:solidFill>
              <w14:schemeClr w14:val="tx1"/>
            </w14:solidFill>
          </w14:textFill>
        </w:rPr>
        <w:t>1、使用</w:t>
      </w:r>
      <w:r>
        <w:rPr>
          <w:rFonts w:hint="eastAsia" w:ascii="宋体" w:hAnsi="宋体"/>
          <w:b/>
          <w:color w:val="000000" w:themeColor="text1"/>
          <w:sz w:val="28"/>
          <w:szCs w:val="28"/>
          <w14:textFill>
            <w14:solidFill>
              <w14:schemeClr w14:val="tx1"/>
            </w14:solidFill>
          </w14:textFill>
        </w:rPr>
        <w:t>每</w:t>
      </w:r>
      <w:r>
        <w:rPr>
          <w:rFonts w:ascii="宋体" w:hAnsi="宋体"/>
          <w:b/>
          <w:color w:val="000000" w:themeColor="text1"/>
          <w:sz w:val="28"/>
          <w:szCs w:val="28"/>
          <w:lang w:val="zh-TW"/>
          <w14:textFill>
            <w14:solidFill>
              <w14:schemeClr w14:val="tx1"/>
            </w14:solidFill>
          </w14:textFill>
        </w:rPr>
        <w:t>分钟最高限价：</w:t>
      </w:r>
      <w:r>
        <w:rPr>
          <w:rFonts w:hint="eastAsia" w:ascii="宋体" w:hAnsi="宋体"/>
          <w:b/>
          <w:color w:val="000000" w:themeColor="text1"/>
          <w:sz w:val="28"/>
          <w:szCs w:val="28"/>
          <w14:textFill>
            <w14:solidFill>
              <w14:schemeClr w14:val="tx1"/>
            </w14:solidFill>
          </w14:textFill>
        </w:rPr>
        <w:t xml:space="preserve">       </w:t>
      </w:r>
      <w:r>
        <w:rPr>
          <w:rFonts w:ascii="宋体" w:hAnsi="宋体"/>
          <w:b/>
          <w:color w:val="000000" w:themeColor="text1"/>
          <w:sz w:val="28"/>
          <w:szCs w:val="28"/>
          <w:lang w:val="zh-TW"/>
          <w14:textFill>
            <w14:solidFill>
              <w14:schemeClr w14:val="tx1"/>
            </w14:solidFill>
          </w14:textFill>
        </w:rPr>
        <w:t>元</w:t>
      </w: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说明或承诺:</w:t>
      </w:r>
    </w:p>
    <w:p>
      <w:pPr>
        <w:snapToGrid w:val="0"/>
        <w:spacing w:line="300" w:lineRule="auto"/>
        <w:rPr>
          <w:rFonts w:ascii="宋体" w:hAnsi="宋体"/>
          <w:b/>
          <w:color w:val="000000" w:themeColor="text1"/>
          <w:sz w:val="32"/>
          <w:szCs w:val="32"/>
          <w14:textFill>
            <w14:solidFill>
              <w14:schemeClr w14:val="tx1"/>
            </w14:solidFill>
          </w14:textFill>
        </w:rPr>
      </w:pPr>
    </w:p>
    <w:p>
      <w:pPr>
        <w:pStyle w:val="27"/>
        <w:spacing w:before="120"/>
        <w:ind w:firstLine="643"/>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 xml:space="preserve">                 </w:t>
      </w:r>
    </w:p>
    <w:p>
      <w:pPr>
        <w:pStyle w:val="27"/>
        <w:spacing w:before="120"/>
        <w:ind w:firstLine="3213" w:firstLineChars="10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投标单位（名称及盖公章）：</w:t>
      </w:r>
    </w:p>
    <w:p>
      <w:pPr>
        <w:pStyle w:val="27"/>
        <w:spacing w:before="120"/>
        <w:ind w:firstLine="3213" w:firstLineChars="10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授权代表（签字）：</w:t>
      </w:r>
    </w:p>
    <w:p>
      <w:pPr>
        <w:pStyle w:val="27"/>
        <w:spacing w:before="120"/>
        <w:ind w:firstLine="3213" w:firstLineChars="10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授权代表（身份证号码）：</w:t>
      </w:r>
    </w:p>
    <w:p>
      <w:pPr>
        <w:snapToGrid w:val="0"/>
        <w:spacing w:line="360" w:lineRule="auto"/>
        <w:jc w:val="righ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w:t>
      </w:r>
    </w:p>
    <w:p>
      <w:pPr>
        <w:snapToGrid w:val="0"/>
        <w:spacing w:line="360" w:lineRule="auto"/>
        <w:jc w:val="right"/>
        <w:rPr>
          <w:rFonts w:ascii="宋体" w:hAnsi="宋体"/>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日期：     年    月   日</w:t>
      </w:r>
    </w:p>
    <w:sectPr>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9"/>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uKj7wxgEAAJwDAAAOAAAAAAAAAAEAIAAAAB4BAABkcnMvZTJvRG9jLnht&#10;bFBLBQYAAAAABgAGAFkBAABW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8793719"/>
                          </w:sdtPr>
                          <w:sdtContent>
                            <w:p>
                              <w:pPr>
                                <w:pStyle w:val="29"/>
                                <w:jc w:val="center"/>
                              </w:pPr>
                              <w:r>
                                <w:fldChar w:fldCharType="begin"/>
                              </w:r>
                              <w:r>
                                <w:instrText xml:space="preserve">PAGE   \* MERGEFORMAT</w:instrText>
                              </w:r>
                              <w:r>
                                <w:fldChar w:fldCharType="separate"/>
                              </w:r>
                              <w:r>
                                <w:rPr>
                                  <w:lang w:val="zh-CN"/>
                                </w:rPr>
                                <w:t>39</w:t>
                              </w:r>
                              <w:r>
                                <w:rPr>
                                  <w:lang w:val="zh-CN"/>
                                </w:rP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168793719"/>
                    </w:sdtPr>
                    <w:sdtContent>
                      <w:p>
                        <w:pPr>
                          <w:pStyle w:val="29"/>
                          <w:jc w:val="center"/>
                        </w:pPr>
                        <w:r>
                          <w:fldChar w:fldCharType="begin"/>
                        </w:r>
                        <w:r>
                          <w:instrText xml:space="preserve">PAGE   \* MERGEFORMAT</w:instrText>
                        </w:r>
                        <w:r>
                          <w:fldChar w:fldCharType="separate"/>
                        </w:r>
                        <w:r>
                          <w:rPr>
                            <w:lang w:val="zh-CN"/>
                          </w:rPr>
                          <w:t>39</w:t>
                        </w:r>
                        <w:r>
                          <w:rPr>
                            <w:lang w:val="zh-CN"/>
                          </w:rPr>
                          <w:fldChar w:fldCharType="end"/>
                        </w:r>
                      </w:p>
                    </w:sdtContent>
                  </w:sdt>
                  <w:p>
                    <w:pPr>
                      <w:pStyle w:val="2"/>
                      <w:ind w:firstLine="5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0"/>
      </w:pBdr>
      <w:rPr>
        <w:rFonts w:ascii="隶书" w:hAnsi="隶书" w:eastAsia="隶书" w:cs="隶书"/>
        <w:sz w:val="24"/>
        <w:szCs w:val="24"/>
      </w:rPr>
    </w:pPr>
    <w:r>
      <w:rPr>
        <w:rFonts w:hint="eastAsia" w:ascii="隶书" w:hAnsi="隶书" w:eastAsia="隶书" w:cs="隶书"/>
        <w:sz w:val="24"/>
        <w:szCs w:val="24"/>
      </w:rPr>
      <w:t>2023-0</w:t>
    </w:r>
    <w:r>
      <w:rPr>
        <w:rFonts w:hint="eastAsia" w:ascii="隶书" w:hAnsi="隶书" w:eastAsia="隶书" w:cs="隶书"/>
        <w:sz w:val="24"/>
        <w:szCs w:val="24"/>
        <w:lang w:val="en-US" w:eastAsia="zh-CN"/>
      </w:rPr>
      <w:t>36N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4FD55"/>
    <w:multiLevelType w:val="multilevel"/>
    <w:tmpl w:val="8334FD55"/>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12"/>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895616A"/>
    <w:multiLevelType w:val="multilevel"/>
    <w:tmpl w:val="A895616A"/>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lvl>
    <w:lvl w:ilvl="3" w:tentative="0">
      <w:start w:val="1"/>
      <w:numFmt w:val="decimal"/>
      <w:pStyle w:val="10"/>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2">
    <w:nsid w:val="42B3BFEB"/>
    <w:multiLevelType w:val="singleLevel"/>
    <w:tmpl w:val="42B3BFEB"/>
    <w:lvl w:ilvl="0" w:tentative="0">
      <w:start w:val="1"/>
      <w:numFmt w:val="decimal"/>
      <w:lvlText w:val="%1."/>
      <w:lvlJc w:val="left"/>
      <w:pPr>
        <w:tabs>
          <w:tab w:val="left" w:pos="312"/>
        </w:tabs>
      </w:pPr>
    </w:lvl>
  </w:abstractNum>
  <w:abstractNum w:abstractNumId="3">
    <w:nsid w:val="4B9D1858"/>
    <w:multiLevelType w:val="multilevel"/>
    <w:tmpl w:val="4B9D1858"/>
    <w:lvl w:ilvl="0" w:tentative="0">
      <w:start w:val="1"/>
      <w:numFmt w:val="chineseCountingThousand"/>
      <w:suff w:val="space"/>
      <w:lvlText w:val="第%1部分"/>
      <w:lvlJc w:val="left"/>
      <w:pPr>
        <w:ind w:left="0" w:firstLine="0"/>
      </w:pPr>
      <w:rPr>
        <w:rFonts w:hint="eastAsia"/>
      </w:rPr>
    </w:lvl>
    <w:lvl w:ilvl="1" w:tentative="0">
      <w:start w:val="1"/>
      <w:numFmt w:val="chineseCountingThousand"/>
      <w:lvlText w:val="%2、"/>
      <w:lvlJc w:val="left"/>
      <w:pPr>
        <w:ind w:left="0" w:firstLine="0"/>
      </w:pPr>
      <w:rPr>
        <w:rFonts w:hint="eastAsia"/>
        <w:sz w:val="32"/>
        <w:szCs w:val="32"/>
        <w:lang w:val="en-US"/>
      </w:rPr>
    </w:lvl>
    <w:lvl w:ilvl="2" w:tentative="0">
      <w:start w:val="1"/>
      <w:numFmt w:val="decimal"/>
      <w:isLgl/>
      <w:suff w:val="space"/>
      <w:lvlText w:val="%2.%3"/>
      <w:lvlJc w:val="left"/>
      <w:pPr>
        <w:ind w:left="709" w:firstLine="0"/>
      </w:pPr>
      <w:rPr>
        <w:rFonts w:hint="eastAsia"/>
      </w:rPr>
    </w:lvl>
    <w:lvl w:ilvl="3" w:tentative="0">
      <w:start w:val="1"/>
      <w:numFmt w:val="decimal"/>
      <w:isLgl/>
      <w:suff w:val="space"/>
      <w:lvlText w:val="%2.%3.%4"/>
      <w:lvlJc w:val="left"/>
      <w:pPr>
        <w:ind w:left="1134" w:firstLine="0"/>
      </w:pPr>
      <w:rPr>
        <w:rFonts w:hint="eastAsia"/>
      </w:rPr>
    </w:lvl>
    <w:lvl w:ilvl="4" w:tentative="0">
      <w:start w:val="1"/>
      <w:numFmt w:val="decimal"/>
      <w:pStyle w:val="152"/>
      <w:isLgl/>
      <w:suff w:val="space"/>
      <w:lvlText w:val="%2.%3.%4.%5"/>
      <w:lvlJc w:val="left"/>
      <w:pPr>
        <w:ind w:left="0" w:firstLine="0"/>
      </w:pPr>
      <w:rPr>
        <w:rFonts w:hint="eastAsia"/>
      </w:rPr>
    </w:lvl>
    <w:lvl w:ilvl="5" w:tentative="0">
      <w:start w:val="1"/>
      <w:numFmt w:val="decimal"/>
      <w:pStyle w:val="153"/>
      <w:isLgl/>
      <w:suff w:val="space"/>
      <w:lvlText w:val="%2.%3.%4.%5.%6"/>
      <w:lvlJc w:val="left"/>
      <w:pPr>
        <w:ind w:left="0" w:firstLine="0"/>
      </w:pPr>
      <w:rPr>
        <w:rFonts w:hint="eastAsia"/>
      </w:rPr>
    </w:lvl>
    <w:lvl w:ilvl="6" w:tentative="0">
      <w:start w:val="1"/>
      <w:numFmt w:val="decimal"/>
      <w:pStyle w:val="154"/>
      <w:isLgl/>
      <w:suff w:val="space"/>
      <w:lvlText w:val="%2.%3.%4.%5.%6.%7"/>
      <w:lvlJc w:val="left"/>
      <w:pPr>
        <w:ind w:left="0" w:firstLine="0"/>
      </w:pPr>
      <w:rPr>
        <w:rFonts w:hint="eastAsia"/>
      </w:rPr>
    </w:lvl>
    <w:lvl w:ilvl="7" w:tentative="0">
      <w:start w:val="1"/>
      <w:numFmt w:val="decimal"/>
      <w:isLgl/>
      <w:suff w:val="space"/>
      <w:lvlText w:val="%2.%3.%4.%5.%6.%7.%8"/>
      <w:lvlJc w:val="left"/>
      <w:pPr>
        <w:ind w:left="0" w:firstLine="0"/>
      </w:pPr>
      <w:rPr>
        <w:rFonts w:hint="eastAsia"/>
      </w:rPr>
    </w:lvl>
    <w:lvl w:ilvl="8" w:tentative="0">
      <w:start w:val="1"/>
      <w:numFmt w:val="decimal"/>
      <w:isLgl/>
      <w:suff w:val="space"/>
      <w:lvlText w:val="%2.%3.%4.%5.%6.%7.%8.%9"/>
      <w:lvlJc w:val="left"/>
      <w:pPr>
        <w:ind w:left="0" w:firstLine="0"/>
      </w:pPr>
      <w:rPr>
        <w:rFonts w:hint="eastAsia"/>
      </w:rPr>
    </w:lvl>
  </w:abstractNum>
  <w:abstractNum w:abstractNumId="4">
    <w:nsid w:val="64F185D1"/>
    <w:multiLevelType w:val="multilevel"/>
    <w:tmpl w:val="64F185D1"/>
    <w:lvl w:ilvl="0" w:tentative="0">
      <w:start w:val="1"/>
      <w:numFmt w:val="japaneseCounting"/>
      <w:pStyle w:val="111"/>
      <w:lvlText w:val="第%1章"/>
      <w:lvlJc w:val="left"/>
      <w:pPr>
        <w:ind w:left="9351" w:hanging="420"/>
      </w:pPr>
      <w:rPr>
        <w:rFonts w:hint="eastAsia" w:ascii="黑体" w:hAnsi="Times New Roman" w:eastAsia="黑体"/>
        <w:b w:val="0"/>
        <w:sz w:val="36"/>
        <w:lang w:val="en-US"/>
      </w:rPr>
    </w:lvl>
    <w:lvl w:ilvl="1" w:tentative="0">
      <w:start w:val="1"/>
      <w:numFmt w:val="decimal"/>
      <w:pStyle w:val="102"/>
      <w:isLgl/>
      <w:lvlText w:val="%1.%2"/>
      <w:lvlJc w:val="left"/>
      <w:rPr>
        <w:rFonts w:cs="Times New Roman"/>
        <w:b w:val="0"/>
        <w:bCs w:val="0"/>
        <w:i w:val="0"/>
        <w:iCs w:val="0"/>
        <w:caps w:val="0"/>
        <w:smallCaps w:val="0"/>
        <w:strike w:val="0"/>
        <w:dstrike w:val="0"/>
        <w:color w:val="000000"/>
        <w:spacing w:val="0"/>
        <w:kern w:val="0"/>
        <w:position w:val="0"/>
        <w:u w:val="none"/>
        <w:vertAlign w:val="baseline"/>
        <w14:shadow w14:blurRad="0" w14:dist="0" w14:dir="0" w14:sx="0" w14:sy="0" w14:kx="0" w14:ky="0" w14:algn="none">
          <w14:srgbClr w14:val="000000"/>
        </w14:shadow>
      </w:rPr>
    </w:lvl>
    <w:lvl w:ilvl="2" w:tentative="0">
      <w:start w:val="1"/>
      <w:numFmt w:val="decimal"/>
      <w:pStyle w:val="101"/>
      <w:isLgl/>
      <w:lvlText w:val="%1.%2.%3"/>
      <w:lvlJc w:val="left"/>
      <w:rPr>
        <w:rFonts w:cs="Times New Roman"/>
        <w:b w:val="0"/>
        <w:bCs w:val="0"/>
        <w:i w:val="0"/>
        <w:iCs w:val="0"/>
        <w:caps w:val="0"/>
        <w:smallCaps w:val="0"/>
        <w:strike w:val="0"/>
        <w:dstrike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pStyle w:val="91"/>
      <w:isLgl/>
      <w:lvlText w:val="%1.%2.%3.%4"/>
      <w:lvlJc w:val="left"/>
      <w:pPr>
        <w:tabs>
          <w:tab w:val="left" w:pos="1134"/>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4"/>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5">
    <w:nsid w:val="64F185E7"/>
    <w:multiLevelType w:val="singleLevel"/>
    <w:tmpl w:val="64F185E7"/>
    <w:lvl w:ilvl="0" w:tentative="0">
      <w:start w:val="1"/>
      <w:numFmt w:val="upperLetter"/>
      <w:pStyle w:val="105"/>
      <w:lvlText w:val="附录%1."/>
      <w:lvlJc w:val="left"/>
      <w:pPr>
        <w:tabs>
          <w:tab w:val="left" w:pos="907"/>
        </w:tabs>
        <w:ind w:left="907" w:hanging="907"/>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C54851"/>
    <w:rsid w:val="009F1157"/>
    <w:rsid w:val="00C54851"/>
    <w:rsid w:val="00E371FE"/>
    <w:rsid w:val="00F407DE"/>
    <w:rsid w:val="027C375D"/>
    <w:rsid w:val="08717517"/>
    <w:rsid w:val="122B40D8"/>
    <w:rsid w:val="160E7A0D"/>
    <w:rsid w:val="21A13BD0"/>
    <w:rsid w:val="28DB23E5"/>
    <w:rsid w:val="29897CA4"/>
    <w:rsid w:val="2A0240FC"/>
    <w:rsid w:val="2FAB0637"/>
    <w:rsid w:val="309E1A3A"/>
    <w:rsid w:val="34E46AC5"/>
    <w:rsid w:val="43827BD5"/>
    <w:rsid w:val="48763BB3"/>
    <w:rsid w:val="49BE123B"/>
    <w:rsid w:val="4A7126AF"/>
    <w:rsid w:val="5AED0DB6"/>
    <w:rsid w:val="5C4001D5"/>
    <w:rsid w:val="6850354E"/>
    <w:rsid w:val="6A7A6958"/>
    <w:rsid w:val="6EA1657A"/>
    <w:rsid w:val="71136DEE"/>
    <w:rsid w:val="71DE1BCB"/>
    <w:rsid w:val="75287ED4"/>
    <w:rsid w:val="75874327"/>
    <w:rsid w:val="7C1C7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99"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qFormat="1" w:unhideWhenUsed="0" w:uiPriority="0" w:semiHidden="0"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3"/>
    <w:qFormat/>
    <w:uiPriority w:val="0"/>
    <w:pPr>
      <w:keepNext/>
      <w:outlineLvl w:val="0"/>
    </w:pPr>
    <w:rPr>
      <w:rFonts w:ascii="楷体_GB2312" w:eastAsia="楷体_GB2312"/>
      <w:sz w:val="28"/>
      <w:szCs w:val="20"/>
    </w:rPr>
  </w:style>
  <w:style w:type="paragraph" w:styleId="8">
    <w:name w:val="heading 2"/>
    <w:basedOn w:val="1"/>
    <w:next w:val="1"/>
    <w:link w:val="64"/>
    <w:unhideWhenUsed/>
    <w:qFormat/>
    <w:uiPriority w:val="0"/>
    <w:pPr>
      <w:keepNext/>
      <w:keepLines/>
      <w:spacing w:before="260" w:after="260" w:line="415" w:lineRule="auto"/>
      <w:jc w:val="center"/>
      <w:outlineLvl w:val="1"/>
    </w:pPr>
    <w:rPr>
      <w:rFonts w:ascii="Arial" w:hAnsi="Arial" w:eastAsia="幼圆"/>
      <w:b/>
      <w:sz w:val="44"/>
      <w:szCs w:val="20"/>
    </w:rPr>
  </w:style>
  <w:style w:type="paragraph" w:styleId="9">
    <w:name w:val="heading 3"/>
    <w:basedOn w:val="1"/>
    <w:next w:val="1"/>
    <w:link w:val="65"/>
    <w:unhideWhenUsed/>
    <w:qFormat/>
    <w:uiPriority w:val="9"/>
    <w:pPr>
      <w:keepNext/>
      <w:keepLines/>
      <w:spacing w:before="260" w:after="260" w:line="415" w:lineRule="auto"/>
      <w:outlineLvl w:val="2"/>
    </w:pPr>
    <w:rPr>
      <w:b/>
      <w:sz w:val="32"/>
      <w:szCs w:val="20"/>
    </w:rPr>
  </w:style>
  <w:style w:type="paragraph" w:styleId="10">
    <w:name w:val="heading 4"/>
    <w:basedOn w:val="1"/>
    <w:next w:val="1"/>
    <w:link w:val="66"/>
    <w:unhideWhenUsed/>
    <w:qFormat/>
    <w:uiPriority w:val="0"/>
    <w:pPr>
      <w:keepNext/>
      <w:keepLines/>
      <w:numPr>
        <w:ilvl w:val="3"/>
        <w:numId w:val="1"/>
      </w:numPr>
      <w:spacing w:before="280" w:after="290" w:line="374" w:lineRule="auto"/>
      <w:ind w:left="0" w:firstLine="0"/>
      <w:outlineLvl w:val="3"/>
    </w:pPr>
    <w:rPr>
      <w:rFonts w:ascii="Arial" w:hAnsi="Arial" w:eastAsia="黑体"/>
      <w:b/>
      <w:bCs/>
      <w:sz w:val="28"/>
      <w:szCs w:val="28"/>
    </w:rPr>
  </w:style>
  <w:style w:type="paragraph" w:styleId="11">
    <w:name w:val="heading 5"/>
    <w:basedOn w:val="1"/>
    <w:next w:val="1"/>
    <w:link w:val="67"/>
    <w:unhideWhenUsed/>
    <w:qFormat/>
    <w:uiPriority w:val="0"/>
    <w:pPr>
      <w:keepNext/>
      <w:outlineLvl w:val="4"/>
    </w:pPr>
    <w:rPr>
      <w:rFonts w:ascii="宋体" w:hAnsi="宋体"/>
      <w:b/>
      <w:bCs/>
    </w:rPr>
  </w:style>
  <w:style w:type="paragraph" w:styleId="12">
    <w:name w:val="heading 6"/>
    <w:basedOn w:val="1"/>
    <w:next w:val="1"/>
    <w:link w:val="141"/>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13">
    <w:name w:val="heading 7"/>
    <w:basedOn w:val="1"/>
    <w:next w:val="1"/>
    <w:link w:val="138"/>
    <w:unhideWhenUsed/>
    <w:qFormat/>
    <w:uiPriority w:val="0"/>
    <w:pPr>
      <w:keepNext/>
      <w:keepLines/>
      <w:tabs>
        <w:tab w:val="left" w:pos="11"/>
      </w:tabs>
      <w:spacing w:line="317" w:lineRule="auto"/>
      <w:ind w:left="1296"/>
      <w:outlineLvl w:val="6"/>
    </w:pPr>
    <w:rPr>
      <w:b/>
      <w:sz w:val="24"/>
    </w:rPr>
  </w:style>
  <w:style w:type="paragraph" w:styleId="14">
    <w:name w:val="heading 8"/>
    <w:basedOn w:val="1"/>
    <w:next w:val="1"/>
    <w:link w:val="139"/>
    <w:unhideWhenUsed/>
    <w:qFormat/>
    <w:uiPriority w:val="0"/>
    <w:pPr>
      <w:keepNext/>
      <w:keepLines/>
      <w:spacing w:line="317" w:lineRule="auto"/>
      <w:ind w:left="1440"/>
      <w:outlineLvl w:val="7"/>
    </w:pPr>
    <w:rPr>
      <w:rFonts w:ascii="Arial" w:hAnsi="Arial" w:eastAsia="黑体"/>
      <w:sz w:val="24"/>
    </w:rPr>
  </w:style>
  <w:style w:type="paragraph" w:styleId="15">
    <w:name w:val="heading 9"/>
    <w:basedOn w:val="1"/>
    <w:next w:val="1"/>
    <w:link w:val="140"/>
    <w:unhideWhenUsed/>
    <w:qFormat/>
    <w:uiPriority w:val="0"/>
    <w:pPr>
      <w:keepNext/>
      <w:keepLines/>
      <w:spacing w:line="317" w:lineRule="auto"/>
      <w:ind w:left="1583"/>
      <w:outlineLvl w:val="8"/>
    </w:pPr>
    <w:rPr>
      <w:rFonts w:ascii="Arial" w:hAnsi="Arial" w:eastAsia="黑体"/>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link w:val="142"/>
    <w:unhideWhenUsed/>
    <w:qFormat/>
    <w:uiPriority w:val="99"/>
    <w:pPr>
      <w:spacing w:line="360" w:lineRule="auto"/>
      <w:ind w:firstLine="200" w:firstLineChars="200"/>
    </w:pPr>
    <w:rPr>
      <w:rFonts w:eastAsia="仿宋_GB2312" w:asciiTheme="minorHAnsi" w:hAnsiTheme="minorHAnsi" w:cstheme="minorBidi"/>
      <w:sz w:val="28"/>
      <w:szCs w:val="24"/>
    </w:rPr>
  </w:style>
  <w:style w:type="paragraph" w:styleId="3">
    <w:name w:val="Body Text Indent"/>
    <w:basedOn w:val="1"/>
    <w:next w:val="4"/>
    <w:link w:val="75"/>
    <w:unhideWhenUsed/>
    <w:qFormat/>
    <w:uiPriority w:val="0"/>
    <w:pPr>
      <w:ind w:firstLine="645"/>
    </w:pPr>
    <w:rPr>
      <w:rFonts w:ascii="楷体_GB2312" w:eastAsia="楷体_GB2312"/>
      <w:sz w:val="32"/>
      <w:szCs w:val="20"/>
    </w:rPr>
  </w:style>
  <w:style w:type="paragraph" w:styleId="4">
    <w:name w:val="envelope return"/>
    <w:basedOn w:val="1"/>
    <w:next w:val="5"/>
    <w:qFormat/>
    <w:uiPriority w:val="0"/>
    <w:pPr>
      <w:snapToGrid w:val="0"/>
    </w:pPr>
    <w:rPr>
      <w:rFonts w:ascii="Arial" w:hAnsi="Arial" w:cs="Arial"/>
    </w:rPr>
  </w:style>
  <w:style w:type="paragraph" w:styleId="5">
    <w:name w:val="toc 7"/>
    <w:basedOn w:val="1"/>
    <w:next w:val="1"/>
    <w:unhideWhenUsed/>
    <w:qFormat/>
    <w:uiPriority w:val="0"/>
    <w:pPr>
      <w:ind w:left="2520" w:leftChars="1200"/>
    </w:pPr>
  </w:style>
  <w:style w:type="paragraph" w:styleId="6">
    <w:name w:val="Body Text"/>
    <w:basedOn w:val="1"/>
    <w:next w:val="3"/>
    <w:link w:val="68"/>
    <w:unhideWhenUsed/>
    <w:qFormat/>
    <w:uiPriority w:val="99"/>
    <w:pPr>
      <w:spacing w:after="120"/>
    </w:pPr>
  </w:style>
  <w:style w:type="paragraph" w:styleId="16">
    <w:name w:val="Normal Indent"/>
    <w:basedOn w:val="1"/>
    <w:next w:val="1"/>
    <w:link w:val="72"/>
    <w:unhideWhenUsed/>
    <w:qFormat/>
    <w:uiPriority w:val="0"/>
    <w:pPr>
      <w:ind w:firstLine="420"/>
    </w:pPr>
    <w:rPr>
      <w:szCs w:val="20"/>
    </w:rPr>
  </w:style>
  <w:style w:type="paragraph" w:styleId="17">
    <w:name w:val="caption"/>
    <w:basedOn w:val="1"/>
    <w:next w:val="1"/>
    <w:link w:val="146"/>
    <w:unhideWhenUsed/>
    <w:qFormat/>
    <w:uiPriority w:val="0"/>
    <w:pPr>
      <w:spacing w:line="360" w:lineRule="auto"/>
      <w:jc w:val="center"/>
    </w:pPr>
    <w:rPr>
      <w:rFonts w:ascii="Arial" w:hAnsi="Arial" w:eastAsia="黑体"/>
      <w:sz w:val="24"/>
    </w:rPr>
  </w:style>
  <w:style w:type="paragraph" w:styleId="18">
    <w:name w:val="Document Map"/>
    <w:basedOn w:val="1"/>
    <w:link w:val="81"/>
    <w:unhideWhenUsed/>
    <w:qFormat/>
    <w:uiPriority w:val="99"/>
    <w:pPr>
      <w:shd w:val="clear" w:color="auto" w:fill="000080"/>
    </w:pPr>
  </w:style>
  <w:style w:type="paragraph" w:styleId="19">
    <w:name w:val="annotation text"/>
    <w:basedOn w:val="1"/>
    <w:link w:val="73"/>
    <w:unhideWhenUsed/>
    <w:qFormat/>
    <w:uiPriority w:val="0"/>
    <w:pPr>
      <w:jc w:val="left"/>
    </w:pPr>
  </w:style>
  <w:style w:type="paragraph" w:styleId="20">
    <w:name w:val="Body Text 3"/>
    <w:basedOn w:val="1"/>
    <w:link w:val="78"/>
    <w:unhideWhenUsed/>
    <w:qFormat/>
    <w:uiPriority w:val="0"/>
    <w:rPr>
      <w:rFonts w:ascii="仿宋_GB2312" w:hAnsi="Arial" w:eastAsia="仿宋_GB2312"/>
      <w:sz w:val="32"/>
      <w:szCs w:val="20"/>
    </w:rPr>
  </w:style>
  <w:style w:type="paragraph" w:styleId="21">
    <w:name w:val="Block Text"/>
    <w:basedOn w:val="1"/>
    <w:qFormat/>
    <w:uiPriority w:val="0"/>
    <w:pPr>
      <w:tabs>
        <w:tab w:val="left" w:pos="9000"/>
      </w:tabs>
      <w:spacing w:after="120"/>
      <w:ind w:left="1440" w:leftChars="700" w:right="1440" w:rightChars="700"/>
    </w:pPr>
  </w:style>
  <w:style w:type="paragraph" w:styleId="22">
    <w:name w:val="toc 5"/>
    <w:basedOn w:val="1"/>
    <w:next w:val="1"/>
    <w:unhideWhenUsed/>
    <w:qFormat/>
    <w:uiPriority w:val="0"/>
    <w:pPr>
      <w:ind w:left="1680" w:leftChars="800"/>
    </w:pPr>
  </w:style>
  <w:style w:type="paragraph" w:styleId="23">
    <w:name w:val="toc 3"/>
    <w:basedOn w:val="1"/>
    <w:next w:val="1"/>
    <w:unhideWhenUsed/>
    <w:qFormat/>
    <w:uiPriority w:val="39"/>
    <w:pPr>
      <w:tabs>
        <w:tab w:val="right" w:leader="dot" w:pos="9440"/>
      </w:tabs>
      <w:spacing w:line="240" w:lineRule="exact"/>
      <w:ind w:left="539"/>
      <w:jc w:val="left"/>
    </w:pPr>
    <w:rPr>
      <w:rFonts w:ascii="黑体" w:hAnsi="宋体" w:eastAsia="黑体"/>
      <w:bCs/>
      <w:iCs/>
      <w:sz w:val="18"/>
      <w:szCs w:val="32"/>
    </w:rPr>
  </w:style>
  <w:style w:type="paragraph" w:styleId="24">
    <w:name w:val="Plain Text"/>
    <w:basedOn w:val="1"/>
    <w:link w:val="82"/>
    <w:unhideWhenUsed/>
    <w:qFormat/>
    <w:uiPriority w:val="0"/>
    <w:rPr>
      <w:rFonts w:ascii="宋体" w:hAnsi="Courier New"/>
      <w:szCs w:val="20"/>
    </w:rPr>
  </w:style>
  <w:style w:type="paragraph" w:styleId="25">
    <w:name w:val="toc 8"/>
    <w:basedOn w:val="1"/>
    <w:next w:val="1"/>
    <w:unhideWhenUsed/>
    <w:qFormat/>
    <w:uiPriority w:val="0"/>
    <w:pPr>
      <w:ind w:left="2940" w:leftChars="1400"/>
    </w:pPr>
  </w:style>
  <w:style w:type="paragraph" w:styleId="26">
    <w:name w:val="Date"/>
    <w:basedOn w:val="1"/>
    <w:next w:val="1"/>
    <w:link w:val="76"/>
    <w:unhideWhenUsed/>
    <w:qFormat/>
    <w:uiPriority w:val="99"/>
    <w:rPr>
      <w:sz w:val="24"/>
      <w:szCs w:val="20"/>
    </w:rPr>
  </w:style>
  <w:style w:type="paragraph" w:styleId="27">
    <w:name w:val="Body Text Indent 2"/>
    <w:basedOn w:val="1"/>
    <w:link w:val="79"/>
    <w:unhideWhenUsed/>
    <w:qFormat/>
    <w:uiPriority w:val="99"/>
    <w:pPr>
      <w:ind w:firstLine="560" w:firstLineChars="200"/>
    </w:pPr>
    <w:rPr>
      <w:rFonts w:ascii="宋体" w:hAnsi="宋体"/>
      <w:sz w:val="28"/>
    </w:rPr>
  </w:style>
  <w:style w:type="paragraph" w:styleId="28">
    <w:name w:val="Balloon Text"/>
    <w:basedOn w:val="1"/>
    <w:link w:val="84"/>
    <w:unhideWhenUsed/>
    <w:qFormat/>
    <w:uiPriority w:val="0"/>
    <w:rPr>
      <w:sz w:val="18"/>
      <w:szCs w:val="18"/>
    </w:rPr>
  </w:style>
  <w:style w:type="paragraph" w:styleId="29">
    <w:name w:val="footer"/>
    <w:basedOn w:val="1"/>
    <w:link w:val="62"/>
    <w:unhideWhenUsed/>
    <w:qFormat/>
    <w:uiPriority w:val="99"/>
    <w:pPr>
      <w:tabs>
        <w:tab w:val="center" w:pos="4153"/>
        <w:tab w:val="right" w:pos="8306"/>
      </w:tabs>
      <w:snapToGrid w:val="0"/>
      <w:jc w:val="left"/>
    </w:pPr>
    <w:rPr>
      <w:sz w:val="18"/>
      <w:szCs w:val="18"/>
    </w:rPr>
  </w:style>
  <w:style w:type="paragraph" w:styleId="30">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tabs>
        <w:tab w:val="right" w:leader="dot" w:pos="9440"/>
      </w:tabs>
      <w:spacing w:before="120" w:after="120" w:line="300" w:lineRule="exact"/>
      <w:jc w:val="left"/>
    </w:pPr>
    <w:rPr>
      <w:rFonts w:ascii="黑体" w:eastAsia="黑体"/>
      <w:b/>
      <w:caps/>
      <w:sz w:val="18"/>
      <w:szCs w:val="28"/>
    </w:rPr>
  </w:style>
  <w:style w:type="paragraph" w:styleId="32">
    <w:name w:val="toc 4"/>
    <w:basedOn w:val="1"/>
    <w:next w:val="1"/>
    <w:unhideWhenUsed/>
    <w:qFormat/>
    <w:uiPriority w:val="0"/>
    <w:pPr>
      <w:ind w:left="1260" w:leftChars="600"/>
    </w:pPr>
  </w:style>
  <w:style w:type="paragraph" w:styleId="33">
    <w:name w:val="Subtitle"/>
    <w:basedOn w:val="1"/>
    <w:next w:val="1"/>
    <w:link w:val="130"/>
    <w:qFormat/>
    <w:uiPriority w:val="11"/>
    <w:pPr>
      <w:spacing w:before="240" w:after="60" w:line="312" w:lineRule="auto"/>
      <w:jc w:val="center"/>
      <w:outlineLvl w:val="1"/>
    </w:pPr>
    <w:rPr>
      <w:rFonts w:ascii="Cambria" w:hAnsi="Cambria" w:eastAsiaTheme="minorEastAsia" w:cstheme="minorBidi"/>
      <w:b/>
      <w:bCs/>
      <w:kern w:val="28"/>
      <w:sz w:val="32"/>
      <w:szCs w:val="32"/>
    </w:rPr>
  </w:style>
  <w:style w:type="paragraph" w:styleId="34">
    <w:name w:val="toc 6"/>
    <w:basedOn w:val="1"/>
    <w:next w:val="1"/>
    <w:unhideWhenUsed/>
    <w:qFormat/>
    <w:uiPriority w:val="0"/>
    <w:pPr>
      <w:ind w:left="2100" w:leftChars="1000"/>
    </w:pPr>
  </w:style>
  <w:style w:type="paragraph" w:styleId="35">
    <w:name w:val="Body Text Indent 3"/>
    <w:basedOn w:val="1"/>
    <w:link w:val="80"/>
    <w:unhideWhenUsed/>
    <w:qFormat/>
    <w:uiPriority w:val="0"/>
    <w:pPr>
      <w:ind w:firstLine="523"/>
    </w:pPr>
    <w:rPr>
      <w:rFonts w:ascii="仿宋_GB2312" w:hAnsi="宋体" w:eastAsia="仿宋_GB2312"/>
      <w:sz w:val="24"/>
    </w:rPr>
  </w:style>
  <w:style w:type="paragraph" w:styleId="36">
    <w:name w:val="index 9"/>
    <w:basedOn w:val="1"/>
    <w:next w:val="1"/>
    <w:unhideWhenUsed/>
    <w:qFormat/>
    <w:uiPriority w:val="99"/>
    <w:pPr>
      <w:ind w:left="1600" w:leftChars="1600"/>
    </w:pPr>
  </w:style>
  <w:style w:type="paragraph" w:styleId="37">
    <w:name w:val="toc 2"/>
    <w:basedOn w:val="1"/>
    <w:next w:val="1"/>
    <w:unhideWhenUsed/>
    <w:qFormat/>
    <w:uiPriority w:val="39"/>
    <w:pPr>
      <w:tabs>
        <w:tab w:val="right" w:leader="dot" w:pos="9440"/>
      </w:tabs>
      <w:spacing w:line="260" w:lineRule="exact"/>
      <w:jc w:val="left"/>
    </w:pPr>
    <w:rPr>
      <w:rFonts w:ascii="黑体" w:eastAsia="黑体"/>
      <w:b/>
      <w:bCs/>
      <w:smallCaps/>
      <w:sz w:val="18"/>
      <w:szCs w:val="44"/>
    </w:rPr>
  </w:style>
  <w:style w:type="paragraph" w:styleId="38">
    <w:name w:val="toc 9"/>
    <w:basedOn w:val="1"/>
    <w:next w:val="1"/>
    <w:unhideWhenUsed/>
    <w:qFormat/>
    <w:uiPriority w:val="0"/>
    <w:pPr>
      <w:ind w:left="3360" w:leftChars="1600"/>
    </w:pPr>
  </w:style>
  <w:style w:type="paragraph" w:styleId="39">
    <w:name w:val="Body Text 2"/>
    <w:basedOn w:val="1"/>
    <w:link w:val="77"/>
    <w:unhideWhenUsed/>
    <w:qFormat/>
    <w:uiPriority w:val="0"/>
    <w:pPr>
      <w:jc w:val="center"/>
    </w:pPr>
    <w:rPr>
      <w:rFonts w:ascii="仿宋_GB2312" w:eastAsia="仿宋_GB2312"/>
      <w:sz w:val="44"/>
    </w:rPr>
  </w:style>
  <w:style w:type="paragraph" w:styleId="40">
    <w:name w:val="Message Header"/>
    <w:next w:val="6"/>
    <w:qFormat/>
    <w:uiPriority w:val="0"/>
    <w:pPr>
      <w:widowControl w:val="0"/>
      <w:ind w:left="1080" w:hanging="1080"/>
      <w:jc w:val="both"/>
    </w:pPr>
    <w:rPr>
      <w:rFonts w:ascii="Arial" w:hAnsi="Arial" w:eastAsia="Arial Unicode MS" w:cs="Arial Unicode MS"/>
      <w:color w:val="000000"/>
      <w:kern w:val="2"/>
      <w:sz w:val="24"/>
      <w:szCs w:val="24"/>
      <w:lang w:val="en-US" w:eastAsia="zh-CN" w:bidi="ar-SA"/>
    </w:rPr>
  </w:style>
  <w:style w:type="paragraph" w:styleId="41">
    <w:name w:val="HTML Preformatted"/>
    <w:basedOn w:val="1"/>
    <w:link w:val="7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unhideWhenUsed/>
    <w:qFormat/>
    <w:uiPriority w:val="0"/>
    <w:rPr>
      <w:rFonts w:ascii="宋体" w:hAnsi="宋体"/>
      <w:szCs w:val="18"/>
    </w:rPr>
  </w:style>
  <w:style w:type="paragraph" w:styleId="44">
    <w:name w:val="Title"/>
    <w:basedOn w:val="1"/>
    <w:next w:val="1"/>
    <w:link w:val="74"/>
    <w:qFormat/>
    <w:uiPriority w:val="10"/>
    <w:pPr>
      <w:spacing w:before="240" w:after="60"/>
      <w:jc w:val="center"/>
      <w:outlineLvl w:val="0"/>
    </w:pPr>
    <w:rPr>
      <w:rFonts w:ascii="等线 Light" w:hAnsi="等线 Light"/>
      <w:b/>
      <w:bCs/>
      <w:sz w:val="32"/>
      <w:szCs w:val="32"/>
    </w:rPr>
  </w:style>
  <w:style w:type="paragraph" w:styleId="45">
    <w:name w:val="annotation subject"/>
    <w:basedOn w:val="19"/>
    <w:next w:val="19"/>
    <w:link w:val="83"/>
    <w:unhideWhenUsed/>
    <w:qFormat/>
    <w:uiPriority w:val="0"/>
    <w:rPr>
      <w:b/>
      <w:bCs/>
    </w:rPr>
  </w:style>
  <w:style w:type="paragraph" w:styleId="46">
    <w:name w:val="Body Text First Indent"/>
    <w:basedOn w:val="1"/>
    <w:next w:val="1"/>
    <w:link w:val="69"/>
    <w:unhideWhenUsed/>
    <w:qFormat/>
    <w:uiPriority w:val="0"/>
    <w:pPr>
      <w:ind w:firstLine="420" w:firstLineChars="100"/>
    </w:p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Table Web 2"/>
    <w:basedOn w:val="47"/>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51">
    <w:name w:val="Strong"/>
    <w:basedOn w:val="50"/>
    <w:qFormat/>
    <w:uiPriority w:val="22"/>
    <w:rPr>
      <w:b/>
      <w:bCs/>
    </w:rPr>
  </w:style>
  <w:style w:type="character" w:styleId="52">
    <w:name w:val="page number"/>
    <w:basedOn w:val="50"/>
    <w:unhideWhenUsed/>
    <w:qFormat/>
    <w:uiPriority w:val="0"/>
  </w:style>
  <w:style w:type="character" w:styleId="53">
    <w:name w:val="FollowedHyperlink"/>
    <w:unhideWhenUsed/>
    <w:qFormat/>
    <w:uiPriority w:val="0"/>
    <w:rPr>
      <w:color w:val="800080"/>
      <w:u w:val="single"/>
    </w:rPr>
  </w:style>
  <w:style w:type="character" w:styleId="54">
    <w:name w:val="Hyperlink"/>
    <w:unhideWhenUsed/>
    <w:qFormat/>
    <w:uiPriority w:val="99"/>
    <w:rPr>
      <w:color w:val="0000FF"/>
      <w:u w:val="single"/>
    </w:rPr>
  </w:style>
  <w:style w:type="character" w:styleId="55">
    <w:name w:val="annotation reference"/>
    <w:unhideWhenUsed/>
    <w:qFormat/>
    <w:uiPriority w:val="99"/>
    <w:rPr>
      <w:sz w:val="21"/>
      <w:szCs w:val="21"/>
    </w:rPr>
  </w:style>
  <w:style w:type="paragraph" w:customStyle="1" w:styleId="56">
    <w:name w:val="样式 样式 左侧:  2 字符 + 左侧:  0.85 厘米 首行缩进:  2 字符1"/>
    <w:basedOn w:val="1"/>
    <w:qFormat/>
    <w:uiPriority w:val="0"/>
    <w:pPr>
      <w:ind w:left="482" w:firstLine="200" w:firstLineChars="200"/>
    </w:pPr>
  </w:style>
  <w:style w:type="paragraph" w:customStyle="1" w:styleId="57">
    <w:name w:val="正文 A"/>
    <w:next w:val="4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58">
    <w:name w:val="段"/>
    <w:next w:val="57"/>
    <w:qFormat/>
    <w:uiPriority w:val="99"/>
    <w:pPr>
      <w:widowControl w:val="0"/>
      <w:ind w:firstLine="200"/>
      <w:jc w:val="both"/>
    </w:pPr>
    <w:rPr>
      <w:rFonts w:ascii="宋体" w:hAnsi="宋体" w:eastAsia="宋体" w:cs="宋体"/>
      <w:color w:val="000000"/>
      <w:sz w:val="21"/>
      <w:szCs w:val="21"/>
      <w:lang w:val="en-US" w:eastAsia="zh-CN" w:bidi="ar-SA"/>
    </w:rPr>
  </w:style>
  <w:style w:type="paragraph" w:customStyle="1" w:styleId="59">
    <w:name w:val="Default"/>
    <w:next w:val="60"/>
    <w:qFormat/>
    <w:uiPriority w:val="0"/>
    <w:pPr>
      <w:widowControl w:val="0"/>
      <w:autoSpaceDE w:val="0"/>
      <w:autoSpaceDN w:val="0"/>
      <w:adjustRightInd w:val="0"/>
      <w:ind w:firstLine="200" w:firstLineChars="200"/>
      <w:jc w:val="both"/>
    </w:pPr>
    <w:rPr>
      <w:rFonts w:ascii="Calibri" w:hAnsi="Calibri" w:eastAsia="宋体" w:cs="Times New Roman"/>
      <w:color w:val="000000"/>
      <w:sz w:val="24"/>
      <w:szCs w:val="24"/>
      <w:lang w:val="en-US" w:eastAsia="zh-CN" w:bidi="ar-SA"/>
    </w:rPr>
  </w:style>
  <w:style w:type="paragraph" w:customStyle="1" w:styleId="6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1">
    <w:name w:val="页眉 字符"/>
    <w:basedOn w:val="50"/>
    <w:link w:val="30"/>
    <w:qFormat/>
    <w:uiPriority w:val="99"/>
    <w:rPr>
      <w:sz w:val="18"/>
      <w:szCs w:val="18"/>
    </w:rPr>
  </w:style>
  <w:style w:type="character" w:customStyle="1" w:styleId="62">
    <w:name w:val="页脚 字符"/>
    <w:basedOn w:val="50"/>
    <w:link w:val="29"/>
    <w:qFormat/>
    <w:uiPriority w:val="99"/>
    <w:rPr>
      <w:sz w:val="18"/>
      <w:szCs w:val="18"/>
    </w:rPr>
  </w:style>
  <w:style w:type="character" w:customStyle="1" w:styleId="63">
    <w:name w:val="标题 1 字符"/>
    <w:basedOn w:val="50"/>
    <w:link w:val="7"/>
    <w:qFormat/>
    <w:uiPriority w:val="0"/>
    <w:rPr>
      <w:rFonts w:ascii="楷体_GB2312" w:hAnsi="Times New Roman" w:eastAsia="楷体_GB2312" w:cs="Times New Roman"/>
      <w:sz w:val="28"/>
      <w:szCs w:val="20"/>
    </w:rPr>
  </w:style>
  <w:style w:type="character" w:customStyle="1" w:styleId="64">
    <w:name w:val="标题 2 字符"/>
    <w:basedOn w:val="50"/>
    <w:link w:val="8"/>
    <w:qFormat/>
    <w:uiPriority w:val="0"/>
    <w:rPr>
      <w:rFonts w:ascii="Arial" w:hAnsi="Arial" w:eastAsia="幼圆" w:cs="Times New Roman"/>
      <w:b/>
      <w:sz w:val="44"/>
      <w:szCs w:val="20"/>
    </w:rPr>
  </w:style>
  <w:style w:type="character" w:customStyle="1" w:styleId="65">
    <w:name w:val="标题 3 字符"/>
    <w:basedOn w:val="50"/>
    <w:link w:val="9"/>
    <w:qFormat/>
    <w:uiPriority w:val="9"/>
    <w:rPr>
      <w:rFonts w:ascii="Times New Roman" w:hAnsi="Times New Roman" w:eastAsia="宋体" w:cs="Times New Roman"/>
      <w:b/>
      <w:sz w:val="32"/>
      <w:szCs w:val="20"/>
    </w:rPr>
  </w:style>
  <w:style w:type="character" w:customStyle="1" w:styleId="66">
    <w:name w:val="标题 4 字符"/>
    <w:basedOn w:val="50"/>
    <w:link w:val="10"/>
    <w:qFormat/>
    <w:uiPriority w:val="0"/>
    <w:rPr>
      <w:rFonts w:ascii="Arial" w:hAnsi="Arial" w:eastAsia="黑体" w:cs="Times New Roman"/>
      <w:b/>
      <w:bCs/>
      <w:sz w:val="28"/>
      <w:szCs w:val="28"/>
    </w:rPr>
  </w:style>
  <w:style w:type="character" w:customStyle="1" w:styleId="67">
    <w:name w:val="标题 5 字符"/>
    <w:basedOn w:val="50"/>
    <w:link w:val="11"/>
    <w:qFormat/>
    <w:uiPriority w:val="0"/>
    <w:rPr>
      <w:rFonts w:ascii="宋体" w:hAnsi="宋体" w:eastAsia="宋体" w:cs="Times New Roman"/>
      <w:b/>
      <w:bCs/>
      <w:szCs w:val="24"/>
    </w:rPr>
  </w:style>
  <w:style w:type="character" w:customStyle="1" w:styleId="68">
    <w:name w:val="正文文本 字符"/>
    <w:basedOn w:val="50"/>
    <w:link w:val="6"/>
    <w:qFormat/>
    <w:uiPriority w:val="99"/>
    <w:rPr>
      <w:rFonts w:ascii="Times New Roman" w:hAnsi="Times New Roman" w:eastAsia="宋体" w:cs="Times New Roman"/>
      <w:szCs w:val="24"/>
    </w:rPr>
  </w:style>
  <w:style w:type="character" w:customStyle="1" w:styleId="69">
    <w:name w:val="正文首行缩进 字符"/>
    <w:basedOn w:val="68"/>
    <w:link w:val="46"/>
    <w:qFormat/>
    <w:uiPriority w:val="0"/>
    <w:rPr>
      <w:rFonts w:ascii="Times New Roman" w:hAnsi="Times New Roman" w:eastAsia="宋体" w:cs="Times New Roman"/>
      <w:szCs w:val="24"/>
    </w:rPr>
  </w:style>
  <w:style w:type="character" w:customStyle="1" w:styleId="70">
    <w:name w:val="HTML 预设格式 字符"/>
    <w:basedOn w:val="50"/>
    <w:link w:val="41"/>
    <w:semiHidden/>
    <w:qFormat/>
    <w:uiPriority w:val="0"/>
    <w:rPr>
      <w:rFonts w:ascii="黑体" w:hAnsi="Courier New" w:eastAsia="黑体" w:cs="Courier New"/>
      <w:kern w:val="0"/>
      <w:sz w:val="20"/>
      <w:szCs w:val="20"/>
    </w:rPr>
  </w:style>
  <w:style w:type="paragraph" w:customStyle="1" w:styleId="71">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正文缩进 字符"/>
    <w:link w:val="16"/>
    <w:semiHidden/>
    <w:qFormat/>
    <w:locked/>
    <w:uiPriority w:val="0"/>
    <w:rPr>
      <w:rFonts w:ascii="Times New Roman" w:hAnsi="Times New Roman" w:eastAsia="宋体" w:cs="Times New Roman"/>
      <w:szCs w:val="20"/>
    </w:rPr>
  </w:style>
  <w:style w:type="character" w:customStyle="1" w:styleId="73">
    <w:name w:val="批注文字 字符"/>
    <w:basedOn w:val="50"/>
    <w:link w:val="19"/>
    <w:qFormat/>
    <w:uiPriority w:val="0"/>
    <w:rPr>
      <w:rFonts w:ascii="Times New Roman" w:hAnsi="Times New Roman" w:eastAsia="宋体" w:cs="Times New Roman"/>
      <w:szCs w:val="24"/>
    </w:rPr>
  </w:style>
  <w:style w:type="character" w:customStyle="1" w:styleId="74">
    <w:name w:val="标题 字符"/>
    <w:basedOn w:val="50"/>
    <w:link w:val="44"/>
    <w:qFormat/>
    <w:uiPriority w:val="10"/>
    <w:rPr>
      <w:rFonts w:ascii="等线 Light" w:hAnsi="等线 Light" w:eastAsia="宋体" w:cs="Times New Roman"/>
      <w:b/>
      <w:bCs/>
      <w:sz w:val="32"/>
      <w:szCs w:val="32"/>
    </w:rPr>
  </w:style>
  <w:style w:type="character" w:customStyle="1" w:styleId="75">
    <w:name w:val="正文文本缩进 字符"/>
    <w:basedOn w:val="50"/>
    <w:link w:val="3"/>
    <w:qFormat/>
    <w:uiPriority w:val="0"/>
    <w:rPr>
      <w:rFonts w:ascii="楷体_GB2312" w:hAnsi="Times New Roman" w:eastAsia="楷体_GB2312" w:cs="Times New Roman"/>
      <w:sz w:val="32"/>
      <w:szCs w:val="20"/>
    </w:rPr>
  </w:style>
  <w:style w:type="character" w:customStyle="1" w:styleId="76">
    <w:name w:val="日期 字符"/>
    <w:basedOn w:val="50"/>
    <w:link w:val="26"/>
    <w:qFormat/>
    <w:uiPriority w:val="99"/>
    <w:rPr>
      <w:rFonts w:ascii="Times New Roman" w:hAnsi="Times New Roman" w:eastAsia="宋体" w:cs="Times New Roman"/>
      <w:sz w:val="24"/>
      <w:szCs w:val="20"/>
    </w:rPr>
  </w:style>
  <w:style w:type="character" w:customStyle="1" w:styleId="77">
    <w:name w:val="正文文本 2 字符"/>
    <w:basedOn w:val="50"/>
    <w:link w:val="39"/>
    <w:semiHidden/>
    <w:qFormat/>
    <w:uiPriority w:val="0"/>
    <w:rPr>
      <w:rFonts w:ascii="仿宋_GB2312" w:hAnsi="Times New Roman" w:eastAsia="仿宋_GB2312" w:cs="Times New Roman"/>
      <w:sz w:val="44"/>
      <w:szCs w:val="24"/>
    </w:rPr>
  </w:style>
  <w:style w:type="character" w:customStyle="1" w:styleId="78">
    <w:name w:val="正文文本 3 字符"/>
    <w:basedOn w:val="50"/>
    <w:link w:val="20"/>
    <w:semiHidden/>
    <w:qFormat/>
    <w:uiPriority w:val="0"/>
    <w:rPr>
      <w:rFonts w:ascii="仿宋_GB2312" w:hAnsi="Arial" w:eastAsia="仿宋_GB2312" w:cs="Times New Roman"/>
      <w:sz w:val="32"/>
      <w:szCs w:val="20"/>
    </w:rPr>
  </w:style>
  <w:style w:type="character" w:customStyle="1" w:styleId="79">
    <w:name w:val="正文文本缩进 2 字符"/>
    <w:basedOn w:val="50"/>
    <w:link w:val="27"/>
    <w:qFormat/>
    <w:uiPriority w:val="99"/>
    <w:rPr>
      <w:rFonts w:ascii="宋体" w:hAnsi="宋体" w:eastAsia="宋体" w:cs="Times New Roman"/>
      <w:sz w:val="28"/>
      <w:szCs w:val="24"/>
    </w:rPr>
  </w:style>
  <w:style w:type="character" w:customStyle="1" w:styleId="80">
    <w:name w:val="正文文本缩进 3 字符"/>
    <w:basedOn w:val="50"/>
    <w:link w:val="35"/>
    <w:semiHidden/>
    <w:qFormat/>
    <w:uiPriority w:val="0"/>
    <w:rPr>
      <w:rFonts w:ascii="仿宋_GB2312" w:hAnsi="宋体" w:eastAsia="仿宋_GB2312" w:cs="Times New Roman"/>
      <w:sz w:val="24"/>
      <w:szCs w:val="24"/>
    </w:rPr>
  </w:style>
  <w:style w:type="character" w:customStyle="1" w:styleId="81">
    <w:name w:val="文档结构图 字符"/>
    <w:basedOn w:val="50"/>
    <w:link w:val="18"/>
    <w:qFormat/>
    <w:uiPriority w:val="99"/>
    <w:rPr>
      <w:rFonts w:ascii="Times New Roman" w:hAnsi="Times New Roman" w:eastAsia="宋体" w:cs="Times New Roman"/>
      <w:szCs w:val="24"/>
      <w:shd w:val="clear" w:color="auto" w:fill="000080"/>
    </w:rPr>
  </w:style>
  <w:style w:type="character" w:customStyle="1" w:styleId="82">
    <w:name w:val="纯文本 字符"/>
    <w:basedOn w:val="50"/>
    <w:link w:val="24"/>
    <w:qFormat/>
    <w:uiPriority w:val="0"/>
    <w:rPr>
      <w:rFonts w:ascii="宋体" w:hAnsi="Courier New" w:eastAsia="宋体" w:cs="Times New Roman"/>
      <w:szCs w:val="20"/>
    </w:rPr>
  </w:style>
  <w:style w:type="character" w:customStyle="1" w:styleId="83">
    <w:name w:val="批注主题 字符"/>
    <w:basedOn w:val="73"/>
    <w:link w:val="45"/>
    <w:semiHidden/>
    <w:qFormat/>
    <w:uiPriority w:val="0"/>
    <w:rPr>
      <w:rFonts w:ascii="Times New Roman" w:hAnsi="Times New Roman" w:eastAsia="宋体" w:cs="Times New Roman"/>
      <w:b/>
      <w:bCs/>
      <w:szCs w:val="24"/>
    </w:rPr>
  </w:style>
  <w:style w:type="character" w:customStyle="1" w:styleId="84">
    <w:name w:val="批注框文本 字符"/>
    <w:basedOn w:val="50"/>
    <w:link w:val="28"/>
    <w:qFormat/>
    <w:uiPriority w:val="0"/>
    <w:rPr>
      <w:rFonts w:ascii="Times New Roman" w:hAnsi="Times New Roman" w:eastAsia="宋体" w:cs="Times New Roman"/>
      <w:sz w:val="18"/>
      <w:szCs w:val="18"/>
    </w:rPr>
  </w:style>
  <w:style w:type="paragraph" w:customStyle="1" w:styleId="85">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87">
    <w:name w:val="列出段落1"/>
    <w:basedOn w:val="1"/>
    <w:qFormat/>
    <w:uiPriority w:val="34"/>
    <w:pPr>
      <w:ind w:firstLine="420" w:firstLineChars="200"/>
    </w:pPr>
    <w:rPr>
      <w:rFonts w:ascii="Calibri" w:hAnsi="Calibri"/>
      <w:szCs w:val="22"/>
    </w:rPr>
  </w:style>
  <w:style w:type="paragraph" w:customStyle="1" w:styleId="88">
    <w:name w:val="xl47"/>
    <w:basedOn w:val="1"/>
    <w:qFormat/>
    <w:uiPriority w:val="0"/>
    <w:pPr>
      <w:widowControl/>
      <w:spacing w:before="100" w:beforeAutospacing="1" w:after="100" w:afterAutospacing="1"/>
      <w:jc w:val="center"/>
    </w:pPr>
    <w:rPr>
      <w:rFonts w:ascii="方正姚体" w:hAnsi="宋体" w:eastAsia="方正姚体"/>
      <w:b/>
      <w:bCs/>
      <w:kern w:val="0"/>
      <w:sz w:val="36"/>
      <w:szCs w:val="36"/>
    </w:rPr>
  </w:style>
  <w:style w:type="paragraph" w:customStyle="1" w:styleId="89">
    <w:name w:val="正文空2格  1."/>
    <w:basedOn w:val="1"/>
    <w:qFormat/>
    <w:uiPriority w:val="0"/>
    <w:pPr>
      <w:adjustRightInd w:val="0"/>
      <w:spacing w:line="360" w:lineRule="auto"/>
      <w:ind w:firstLine="480" w:firstLineChars="200"/>
    </w:pPr>
    <w:rPr>
      <w:rFonts w:ascii="宋体" w:eastAsia="仿宋" w:cs="宋体"/>
      <w:kern w:val="0"/>
      <w:sz w:val="28"/>
      <w:szCs w:val="20"/>
    </w:rPr>
  </w:style>
  <w:style w:type="paragraph" w:customStyle="1" w:styleId="90">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91">
    <w:name w:val="第四级"/>
    <w:basedOn w:val="1"/>
    <w:next w:val="1"/>
    <w:qFormat/>
    <w:uiPriority w:val="0"/>
    <w:pPr>
      <w:numPr>
        <w:ilvl w:val="3"/>
        <w:numId w:val="3"/>
      </w:numPr>
      <w:adjustRightInd w:val="0"/>
      <w:spacing w:line="360" w:lineRule="auto"/>
    </w:pPr>
    <w:rPr>
      <w:rFonts w:ascii="宋体" w:hAnsi="宋体" w:eastAsia="仿宋"/>
      <w:kern w:val="0"/>
      <w:sz w:val="28"/>
      <w:szCs w:val="21"/>
    </w:rPr>
  </w:style>
  <w:style w:type="paragraph" w:customStyle="1" w:styleId="92">
    <w:name w:val="Char Char Char Char1 Char Char Char"/>
    <w:basedOn w:val="18"/>
    <w:qFormat/>
    <w:uiPriority w:val="0"/>
    <w:pPr>
      <w:adjustRightInd w:val="0"/>
      <w:snapToGrid w:val="0"/>
      <w:spacing w:line="360" w:lineRule="auto"/>
    </w:pPr>
    <w:rPr>
      <w:rFonts w:ascii="Tahoma" w:hAnsi="Tahoma"/>
      <w:sz w:val="24"/>
    </w:rPr>
  </w:style>
  <w:style w:type="paragraph" w:customStyle="1" w:styleId="93">
    <w:name w:val="Coms Alinea"/>
    <w:qFormat/>
    <w:uiPriority w:val="0"/>
    <w:pPr>
      <w:widowControl w:val="0"/>
    </w:pPr>
    <w:rPr>
      <w:rFonts w:ascii="Arial" w:hAnsi="Arial" w:eastAsia="宋体" w:cs="Arial"/>
      <w:lang w:val="en-US" w:eastAsia="zh-CN" w:bidi="ar-SA"/>
    </w:rPr>
  </w:style>
  <w:style w:type="character" w:customStyle="1" w:styleId="94">
    <w:name w:val="列出段落 Char"/>
    <w:link w:val="95"/>
    <w:qFormat/>
    <w:locked/>
    <w:uiPriority w:val="0"/>
    <w:rPr>
      <w:rFonts w:ascii="Calibri" w:hAnsi="Calibri" w:cs="Calibri"/>
      <w:sz w:val="24"/>
      <w:szCs w:val="24"/>
      <w:lang w:eastAsia="en-US" w:bidi="en-US"/>
    </w:rPr>
  </w:style>
  <w:style w:type="paragraph" w:customStyle="1" w:styleId="95">
    <w:name w:val="列出段落11"/>
    <w:basedOn w:val="1"/>
    <w:link w:val="94"/>
    <w:qFormat/>
    <w:uiPriority w:val="34"/>
    <w:pPr>
      <w:widowControl/>
      <w:ind w:left="720"/>
      <w:contextualSpacing/>
      <w:jc w:val="left"/>
    </w:pPr>
    <w:rPr>
      <w:rFonts w:ascii="Calibri" w:hAnsi="Calibri" w:cs="Calibri" w:eastAsiaTheme="minorEastAsia"/>
      <w:sz w:val="24"/>
      <w:lang w:eastAsia="en-US" w:bidi="en-US"/>
    </w:rPr>
  </w:style>
  <w:style w:type="paragraph" w:customStyle="1" w:styleId="96">
    <w:name w:val="Char Char Char Char1 Char Char"/>
    <w:basedOn w:val="1"/>
    <w:qFormat/>
    <w:uiPriority w:val="0"/>
    <w:pPr>
      <w:tabs>
        <w:tab w:val="left" w:pos="360"/>
      </w:tabs>
    </w:pPr>
    <w:rPr>
      <w:sz w:val="24"/>
    </w:rPr>
  </w:style>
  <w:style w:type="paragraph" w:customStyle="1" w:styleId="9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98">
    <w:name w:val="标题2"/>
    <w:basedOn w:val="1"/>
    <w:next w:val="1"/>
    <w:qFormat/>
    <w:uiPriority w:val="0"/>
    <w:pPr>
      <w:jc w:val="center"/>
    </w:pPr>
    <w:rPr>
      <w:rFonts w:eastAsia="方正楷体_GBK"/>
    </w:rPr>
  </w:style>
  <w:style w:type="paragraph" w:customStyle="1" w:styleId="99">
    <w:name w:val="Char"/>
    <w:basedOn w:val="1"/>
    <w:qFormat/>
    <w:uiPriority w:val="0"/>
    <w:pPr>
      <w:tabs>
        <w:tab w:val="left" w:pos="360"/>
      </w:tabs>
    </w:pPr>
    <w:rPr>
      <w:sz w:val="24"/>
    </w:rPr>
  </w:style>
  <w:style w:type="paragraph" w:customStyle="1" w:styleId="100">
    <w:name w:val="默认段落字体 Para Char Char Char Char Char Char Char Char Char1 Char Char Char Char Char Char Char"/>
    <w:basedOn w:val="18"/>
    <w:qFormat/>
    <w:uiPriority w:val="0"/>
    <w:rPr>
      <w:rFonts w:ascii="Tahoma" w:hAnsi="Tahoma"/>
      <w:sz w:val="24"/>
    </w:rPr>
  </w:style>
  <w:style w:type="paragraph" w:customStyle="1" w:styleId="101">
    <w:name w:val="正文 1.1.1"/>
    <w:basedOn w:val="1"/>
    <w:next w:val="1"/>
    <w:qFormat/>
    <w:uiPriority w:val="0"/>
    <w:pPr>
      <w:numPr>
        <w:ilvl w:val="2"/>
        <w:numId w:val="3"/>
      </w:numPr>
      <w:adjustRightInd w:val="0"/>
      <w:spacing w:line="360" w:lineRule="auto"/>
      <w:outlineLvl w:val="2"/>
    </w:pPr>
    <w:rPr>
      <w:rFonts w:ascii="宋体" w:hAnsi="宋体"/>
      <w:color w:val="000000"/>
      <w:kern w:val="0"/>
      <w:sz w:val="28"/>
      <w:szCs w:val="21"/>
    </w:rPr>
  </w:style>
  <w:style w:type="paragraph" w:customStyle="1" w:styleId="102">
    <w:name w:val="正文 1.1"/>
    <w:basedOn w:val="1"/>
    <w:next w:val="101"/>
    <w:qFormat/>
    <w:uiPriority w:val="0"/>
    <w:pPr>
      <w:numPr>
        <w:ilvl w:val="1"/>
        <w:numId w:val="3"/>
      </w:numPr>
      <w:adjustRightInd w:val="0"/>
      <w:spacing w:line="360" w:lineRule="auto"/>
      <w:ind w:left="980" w:hanging="980" w:hangingChars="350"/>
      <w:outlineLvl w:val="1"/>
    </w:pPr>
    <w:rPr>
      <w:rFonts w:ascii="仿宋" w:hAnsi="仿宋" w:eastAsia="仿宋"/>
      <w:b/>
      <w:kern w:val="0"/>
      <w:sz w:val="28"/>
      <w:szCs w:val="21"/>
    </w:rPr>
  </w:style>
  <w:style w:type="paragraph" w:customStyle="1" w:styleId="103">
    <w:name w:val="标题3"/>
    <w:basedOn w:val="1"/>
    <w:next w:val="1"/>
    <w:qFormat/>
    <w:uiPriority w:val="0"/>
    <w:rPr>
      <w:rFonts w:eastAsia="方正黑体_GBK"/>
    </w:rPr>
  </w:style>
  <w:style w:type="paragraph" w:customStyle="1" w:styleId="104">
    <w:name w:val="BioQuote Tekst"/>
    <w:basedOn w:val="1"/>
    <w:qFormat/>
    <w:uiPriority w:val="0"/>
    <w:pPr>
      <w:snapToGrid w:val="0"/>
      <w:ind w:right="-1"/>
    </w:pPr>
    <w:rPr>
      <w:rFonts w:ascii="Arial" w:hAnsi="Arial"/>
      <w:kern w:val="0"/>
      <w:sz w:val="22"/>
      <w:szCs w:val="20"/>
      <w:lang w:eastAsia="en-US"/>
    </w:rPr>
  </w:style>
  <w:style w:type="paragraph" w:customStyle="1" w:styleId="105">
    <w:name w:val="附录1"/>
    <w:qFormat/>
    <w:uiPriority w:val="0"/>
    <w:pPr>
      <w:numPr>
        <w:ilvl w:val="0"/>
        <w:numId w:val="4"/>
      </w:numPr>
      <w:snapToGrid w:val="0"/>
      <w:spacing w:before="240" w:line="600" w:lineRule="atLeast"/>
    </w:pPr>
    <w:rPr>
      <w:rFonts w:ascii="Times New Roman" w:hAnsi="Times New Roman" w:eastAsia="宋体" w:cs="Times New Roman"/>
      <w:b/>
      <w:i/>
      <w:sz w:val="28"/>
      <w:lang w:val="en-US" w:eastAsia="zh-CN" w:bidi="ar-SA"/>
    </w:rPr>
  </w:style>
  <w:style w:type="character" w:customStyle="1" w:styleId="106">
    <w:name w:val="普通正文 Char"/>
    <w:link w:val="107"/>
    <w:qFormat/>
    <w:locked/>
    <w:uiPriority w:val="0"/>
    <w:rPr>
      <w:rFonts w:ascii="Arial" w:hAnsi="Arial" w:cs="Arial"/>
      <w:sz w:val="24"/>
      <w:szCs w:val="24"/>
    </w:rPr>
  </w:style>
  <w:style w:type="paragraph" w:customStyle="1" w:styleId="107">
    <w:name w:val="普通正文"/>
    <w:basedOn w:val="1"/>
    <w:link w:val="106"/>
    <w:qFormat/>
    <w:uiPriority w:val="0"/>
    <w:pPr>
      <w:adjustRightInd w:val="0"/>
      <w:spacing w:before="120" w:after="120" w:line="360" w:lineRule="auto"/>
      <w:ind w:firstLine="480"/>
      <w:jc w:val="left"/>
    </w:pPr>
    <w:rPr>
      <w:rFonts w:ascii="Arial" w:hAnsi="Arial" w:cs="Arial" w:eastAsiaTheme="minorEastAsia"/>
      <w:sz w:val="24"/>
    </w:rPr>
  </w:style>
  <w:style w:type="paragraph" w:customStyle="1" w:styleId="10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09">
    <w:name w:val="Char Char Char Char"/>
    <w:basedOn w:val="18"/>
    <w:qFormat/>
    <w:uiPriority w:val="0"/>
    <w:pPr>
      <w:adjustRightInd w:val="0"/>
      <w:snapToGrid w:val="0"/>
      <w:spacing w:line="360" w:lineRule="auto"/>
    </w:pPr>
    <w:rPr>
      <w:rFonts w:ascii="Tahoma" w:hAnsi="Tahoma"/>
      <w:sz w:val="24"/>
    </w:rPr>
  </w:style>
  <w:style w:type="paragraph" w:customStyle="1" w:styleId="110">
    <w:name w:val="Table Text"/>
    <w:qFormat/>
    <w:uiPriority w:val="0"/>
    <w:pPr>
      <w:snapToGrid w:val="0"/>
      <w:spacing w:beforeLines="50" w:after="80"/>
      <w:jc w:val="center"/>
    </w:pPr>
    <w:rPr>
      <w:rFonts w:ascii="仿宋_GB2312" w:hAnsi="宋体" w:eastAsia="仿宋_GB2312" w:cs="Times New Roman"/>
      <w:sz w:val="24"/>
      <w:lang w:val="en-US" w:eastAsia="zh-CN" w:bidi="ar-SA"/>
    </w:rPr>
  </w:style>
  <w:style w:type="paragraph" w:customStyle="1" w:styleId="111">
    <w:name w:val="正文 第一章"/>
    <w:basedOn w:val="1"/>
    <w:next w:val="102"/>
    <w:qFormat/>
    <w:uiPriority w:val="0"/>
    <w:pPr>
      <w:pageBreakBefore/>
      <w:numPr>
        <w:ilvl w:val="0"/>
        <w:numId w:val="3"/>
      </w:numPr>
      <w:adjustRightInd w:val="0"/>
      <w:spacing w:before="240" w:after="240" w:line="480" w:lineRule="auto"/>
      <w:jc w:val="center"/>
      <w:outlineLvl w:val="0"/>
    </w:pPr>
    <w:rPr>
      <w:rFonts w:ascii="黑体" w:hAnsi="宋体" w:eastAsia="黑体"/>
      <w:kern w:val="0"/>
      <w:sz w:val="36"/>
      <w:szCs w:val="21"/>
    </w:rPr>
  </w:style>
  <w:style w:type="paragraph" w:customStyle="1" w:styleId="112">
    <w:name w:val="标题4"/>
    <w:basedOn w:val="1"/>
    <w:next w:val="1"/>
    <w:qFormat/>
    <w:uiPriority w:val="10"/>
    <w:pPr>
      <w:spacing w:before="240" w:after="60"/>
      <w:jc w:val="center"/>
      <w:outlineLvl w:val="0"/>
    </w:pPr>
    <w:rPr>
      <w:rFonts w:ascii="Calibri Light" w:hAnsi="Calibri Light"/>
      <w:b/>
      <w:bCs/>
      <w:sz w:val="32"/>
      <w:szCs w:val="32"/>
    </w:rPr>
  </w:style>
  <w:style w:type="paragraph" w:customStyle="1" w:styleId="113">
    <w:name w:val="me-正文"/>
    <w:basedOn w:val="1"/>
    <w:qFormat/>
    <w:uiPriority w:val="0"/>
    <w:pPr>
      <w:adjustRightInd w:val="0"/>
      <w:snapToGrid w:val="0"/>
      <w:spacing w:line="579" w:lineRule="exact"/>
      <w:ind w:firstLine="200" w:firstLineChars="200"/>
    </w:pPr>
    <w:rPr>
      <w:rFonts w:ascii="仿宋_GB2312" w:eastAsia="仿宋_GB2312"/>
      <w:sz w:val="32"/>
      <w:szCs w:val="44"/>
    </w:rPr>
  </w:style>
  <w:style w:type="paragraph" w:customStyle="1" w:styleId="114">
    <w:name w:val="me-标题"/>
    <w:basedOn w:val="44"/>
    <w:next w:val="113"/>
    <w:qFormat/>
    <w:uiPriority w:val="0"/>
    <w:pPr>
      <w:spacing w:before="0" w:after="0" w:line="579" w:lineRule="exact"/>
    </w:pPr>
    <w:rPr>
      <w:rFonts w:ascii="Times New Roman" w:hAnsi="Times New Roman" w:eastAsia="方正小标宋简体"/>
      <w:b w:val="0"/>
      <w:sz w:val="44"/>
    </w:rPr>
  </w:style>
  <w:style w:type="paragraph" w:customStyle="1" w:styleId="115">
    <w:name w:val="WPSOffice手动目录 1"/>
    <w:qFormat/>
    <w:uiPriority w:val="0"/>
    <w:rPr>
      <w:rFonts w:ascii="Times New Roman" w:hAnsi="Times New Roman" w:eastAsia="宋体" w:cs="Times New Roman"/>
      <w:lang w:val="en-US" w:eastAsia="zh-CN" w:bidi="ar-SA"/>
    </w:rPr>
  </w:style>
  <w:style w:type="paragraph" w:customStyle="1" w:styleId="11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17">
    <w:name w:val="标题2 Char"/>
    <w:qFormat/>
    <w:uiPriority w:val="0"/>
    <w:rPr>
      <w:rFonts w:hint="eastAsia" w:ascii="方正楷体_GBK" w:hAnsi="Book Antiqua" w:eastAsia="方正楷体_GBK"/>
      <w:snapToGrid w:val="0"/>
      <w:sz w:val="32"/>
      <w:lang w:val="en-US" w:eastAsia="zh-CN" w:bidi="ar-SA"/>
    </w:rPr>
  </w:style>
  <w:style w:type="character" w:customStyle="1" w:styleId="118">
    <w:name w:val="jj1"/>
    <w:qFormat/>
    <w:uiPriority w:val="0"/>
    <w:rPr>
      <w:sz w:val="20"/>
      <w:szCs w:val="20"/>
      <w:u w:val="none"/>
    </w:rPr>
  </w:style>
  <w:style w:type="character" w:customStyle="1" w:styleId="119">
    <w:name w:val="HTML 预设格式 字符1"/>
    <w:basedOn w:val="50"/>
    <w:semiHidden/>
    <w:qFormat/>
    <w:uiPriority w:val="99"/>
    <w:rPr>
      <w:rFonts w:hint="default" w:ascii="Courier New" w:hAnsi="Courier New" w:cs="Courier New"/>
      <w:kern w:val="2"/>
    </w:rPr>
  </w:style>
  <w:style w:type="character" w:customStyle="1" w:styleId="120">
    <w:name w:val="批注文字 字符1"/>
    <w:basedOn w:val="50"/>
    <w:semiHidden/>
    <w:qFormat/>
    <w:uiPriority w:val="99"/>
    <w:rPr>
      <w:kern w:val="2"/>
      <w:sz w:val="21"/>
      <w:szCs w:val="24"/>
    </w:rPr>
  </w:style>
  <w:style w:type="character" w:customStyle="1" w:styleId="121">
    <w:name w:val="批注主题 字符1"/>
    <w:basedOn w:val="120"/>
    <w:semiHidden/>
    <w:qFormat/>
    <w:uiPriority w:val="99"/>
    <w:rPr>
      <w:b/>
      <w:bCs/>
      <w:kern w:val="2"/>
      <w:sz w:val="21"/>
      <w:szCs w:val="24"/>
    </w:rPr>
  </w:style>
  <w:style w:type="paragraph" w:customStyle="1" w:styleId="122">
    <w:name w:val="Table Paragraph"/>
    <w:basedOn w:val="1"/>
    <w:qFormat/>
    <w:uiPriority w:val="1"/>
    <w:rPr>
      <w:rFonts w:ascii="宋体" w:hAnsi="宋体" w:cs="宋体"/>
      <w:kern w:val="0"/>
      <w:sz w:val="34"/>
      <w:szCs w:val="20"/>
      <w:lang w:val="zh-CN" w:bidi="zh-CN"/>
    </w:rPr>
  </w:style>
  <w:style w:type="paragraph" w:customStyle="1" w:styleId="123">
    <w:name w:val="Char1"/>
    <w:basedOn w:val="1"/>
    <w:qFormat/>
    <w:uiPriority w:val="0"/>
    <w:pPr>
      <w:spacing w:line="240" w:lineRule="exact"/>
    </w:pPr>
    <w:rPr>
      <w:rFonts w:ascii="仿宋_GB2312" w:hAnsi="宋体" w:eastAsia="仿宋_GB2312"/>
      <w:szCs w:val="21"/>
    </w:rPr>
  </w:style>
  <w:style w:type="character" w:customStyle="1" w:styleId="124">
    <w:name w:val="style41"/>
    <w:basedOn w:val="50"/>
    <w:qFormat/>
    <w:uiPriority w:val="0"/>
    <w:rPr>
      <w:color w:val="3D79B6"/>
    </w:rPr>
  </w:style>
  <w:style w:type="paragraph" w:customStyle="1" w:styleId="125">
    <w:name w:val="二级"/>
    <w:basedOn w:val="1"/>
    <w:link w:val="126"/>
    <w:qFormat/>
    <w:uiPriority w:val="0"/>
    <w:pPr>
      <w:jc w:val="center"/>
    </w:pPr>
    <w:rPr>
      <w:rFonts w:hAnsi="宋体"/>
      <w:b/>
      <w:sz w:val="24"/>
    </w:rPr>
  </w:style>
  <w:style w:type="character" w:customStyle="1" w:styleId="126">
    <w:name w:val="二级 Char"/>
    <w:basedOn w:val="50"/>
    <w:link w:val="125"/>
    <w:qFormat/>
    <w:uiPriority w:val="0"/>
    <w:rPr>
      <w:rFonts w:ascii="Times New Roman" w:hAnsi="宋体" w:eastAsia="宋体" w:cs="Times New Roman"/>
      <w:b/>
      <w:kern w:val="2"/>
      <w:sz w:val="24"/>
      <w:szCs w:val="24"/>
    </w:rPr>
  </w:style>
  <w:style w:type="paragraph" w:customStyle="1" w:styleId="127">
    <w:name w:val="z-窗体顶端1"/>
    <w:basedOn w:val="1"/>
    <w:next w:val="1"/>
    <w:link w:val="128"/>
    <w:unhideWhenUsed/>
    <w:qFormat/>
    <w:uiPriority w:val="0"/>
    <w:pPr>
      <w:widowControl/>
      <w:pBdr>
        <w:bottom w:val="single" w:color="auto" w:sz="6" w:space="1"/>
      </w:pBdr>
      <w:jc w:val="center"/>
    </w:pPr>
    <w:rPr>
      <w:rFonts w:ascii="Arial" w:hAnsi="Arial" w:cs="Arial"/>
      <w:vanish/>
      <w:kern w:val="0"/>
      <w:sz w:val="16"/>
      <w:szCs w:val="16"/>
    </w:rPr>
  </w:style>
  <w:style w:type="character" w:customStyle="1" w:styleId="128">
    <w:name w:val="z-窗体顶端 Char"/>
    <w:basedOn w:val="50"/>
    <w:link w:val="127"/>
    <w:qFormat/>
    <w:uiPriority w:val="0"/>
    <w:rPr>
      <w:rFonts w:ascii="Arial" w:hAnsi="Arial" w:eastAsia="宋体" w:cs="Arial"/>
      <w:vanish/>
      <w:sz w:val="16"/>
      <w:szCs w:val="16"/>
    </w:rPr>
  </w:style>
  <w:style w:type="character" w:customStyle="1" w:styleId="129">
    <w:name w:val="标题 Char1"/>
    <w:basedOn w:val="50"/>
    <w:qFormat/>
    <w:uiPriority w:val="0"/>
    <w:rPr>
      <w:rFonts w:eastAsia="宋体" w:asciiTheme="majorHAnsi" w:hAnsiTheme="majorHAnsi" w:cstheme="majorBidi"/>
      <w:b/>
      <w:bCs/>
      <w:sz w:val="32"/>
      <w:szCs w:val="32"/>
    </w:rPr>
  </w:style>
  <w:style w:type="character" w:customStyle="1" w:styleId="130">
    <w:name w:val="副标题 字符"/>
    <w:basedOn w:val="50"/>
    <w:link w:val="33"/>
    <w:qFormat/>
    <w:uiPriority w:val="11"/>
    <w:rPr>
      <w:rFonts w:ascii="Cambria" w:hAnsi="Cambria"/>
      <w:b/>
      <w:bCs/>
      <w:kern w:val="28"/>
      <w:sz w:val="32"/>
      <w:szCs w:val="32"/>
    </w:rPr>
  </w:style>
  <w:style w:type="character" w:customStyle="1" w:styleId="131">
    <w:name w:val="副标题 字符1"/>
    <w:basedOn w:val="50"/>
    <w:qFormat/>
    <w:uiPriority w:val="11"/>
    <w:rPr>
      <w:b/>
      <w:bCs/>
      <w:kern w:val="28"/>
      <w:sz w:val="32"/>
      <w:szCs w:val="32"/>
    </w:rPr>
  </w:style>
  <w:style w:type="character" w:customStyle="1" w:styleId="132">
    <w:name w:val="副标题 Char1"/>
    <w:basedOn w:val="50"/>
    <w:qFormat/>
    <w:uiPriority w:val="0"/>
    <w:rPr>
      <w:rFonts w:eastAsia="宋体" w:asciiTheme="majorHAnsi" w:hAnsiTheme="majorHAnsi" w:cstheme="majorBidi"/>
      <w:b/>
      <w:bCs/>
      <w:kern w:val="28"/>
      <w:sz w:val="32"/>
      <w:szCs w:val="32"/>
    </w:rPr>
  </w:style>
  <w:style w:type="paragraph" w:customStyle="1" w:styleId="133">
    <w:name w:val="me-作者时间"/>
    <w:basedOn w:val="33"/>
    <w:next w:val="113"/>
    <w:qFormat/>
    <w:uiPriority w:val="0"/>
    <w:pPr>
      <w:spacing w:before="0" w:after="0" w:line="579" w:lineRule="exact"/>
    </w:pPr>
    <w:rPr>
      <w:rFonts w:ascii="Times New Roman" w:hAnsi="Times New Roman" w:eastAsia="仿宋_GB2312"/>
      <w:b w:val="0"/>
    </w:rPr>
  </w:style>
  <w:style w:type="paragraph" w:customStyle="1" w:styleId="134">
    <w:name w:val="me-一级标题"/>
    <w:basedOn w:val="7"/>
    <w:next w:val="113"/>
    <w:qFormat/>
    <w:uiPriority w:val="0"/>
    <w:pPr>
      <w:keepLines/>
      <w:spacing w:line="579" w:lineRule="exact"/>
      <w:ind w:firstLine="200" w:firstLineChars="200"/>
    </w:pPr>
    <w:rPr>
      <w:rFonts w:ascii="Times New Roman" w:eastAsia="黑体"/>
      <w:bCs/>
      <w:kern w:val="44"/>
      <w:sz w:val="32"/>
      <w:szCs w:val="44"/>
    </w:rPr>
  </w:style>
  <w:style w:type="paragraph" w:customStyle="1" w:styleId="135">
    <w:name w:val="me-二级标题"/>
    <w:basedOn w:val="8"/>
    <w:next w:val="113"/>
    <w:qFormat/>
    <w:uiPriority w:val="0"/>
    <w:pPr>
      <w:spacing w:before="0" w:after="0" w:line="579" w:lineRule="exact"/>
      <w:ind w:firstLine="200" w:firstLineChars="200"/>
      <w:jc w:val="both"/>
    </w:pPr>
    <w:rPr>
      <w:rFonts w:ascii="Times New Roman" w:hAnsi="Times New Roman" w:eastAsia="楷体_GB2312"/>
      <w:bCs/>
      <w:sz w:val="32"/>
      <w:szCs w:val="32"/>
    </w:rPr>
  </w:style>
  <w:style w:type="paragraph" w:customStyle="1" w:styleId="136">
    <w:name w:val="me-三级标题"/>
    <w:basedOn w:val="9"/>
    <w:next w:val="113"/>
    <w:qFormat/>
    <w:uiPriority w:val="0"/>
    <w:pPr>
      <w:spacing w:before="0" w:after="0" w:line="579" w:lineRule="exact"/>
      <w:ind w:firstLine="200" w:firstLineChars="200"/>
    </w:pPr>
    <w:rPr>
      <w:rFonts w:eastAsia="仿宋_GB2312"/>
      <w:bCs/>
      <w:szCs w:val="32"/>
    </w:rPr>
  </w:style>
  <w:style w:type="paragraph" w:customStyle="1" w:styleId="137">
    <w:name w:val="p0"/>
    <w:basedOn w:val="1"/>
    <w:qFormat/>
    <w:uiPriority w:val="0"/>
    <w:pPr>
      <w:widowControl/>
    </w:pPr>
    <w:rPr>
      <w:kern w:val="0"/>
      <w:szCs w:val="21"/>
    </w:rPr>
  </w:style>
  <w:style w:type="character" w:customStyle="1" w:styleId="138">
    <w:name w:val="标题 7 字符"/>
    <w:basedOn w:val="50"/>
    <w:link w:val="13"/>
    <w:semiHidden/>
    <w:qFormat/>
    <w:uiPriority w:val="0"/>
    <w:rPr>
      <w:rFonts w:ascii="Times New Roman" w:hAnsi="Times New Roman" w:eastAsia="宋体" w:cs="Times New Roman"/>
      <w:b/>
      <w:kern w:val="2"/>
      <w:sz w:val="24"/>
      <w:szCs w:val="24"/>
    </w:rPr>
  </w:style>
  <w:style w:type="character" w:customStyle="1" w:styleId="139">
    <w:name w:val="标题 8 字符"/>
    <w:basedOn w:val="50"/>
    <w:link w:val="14"/>
    <w:semiHidden/>
    <w:qFormat/>
    <w:uiPriority w:val="0"/>
    <w:rPr>
      <w:rFonts w:ascii="Arial" w:hAnsi="Arial" w:eastAsia="黑体" w:cs="Times New Roman"/>
      <w:kern w:val="2"/>
      <w:sz w:val="24"/>
      <w:szCs w:val="24"/>
    </w:rPr>
  </w:style>
  <w:style w:type="character" w:customStyle="1" w:styleId="140">
    <w:name w:val="标题 9 字符"/>
    <w:basedOn w:val="50"/>
    <w:link w:val="15"/>
    <w:semiHidden/>
    <w:qFormat/>
    <w:uiPriority w:val="0"/>
    <w:rPr>
      <w:rFonts w:ascii="Arial" w:hAnsi="Arial" w:eastAsia="黑体" w:cs="Times New Roman"/>
      <w:kern w:val="2"/>
      <w:sz w:val="21"/>
      <w:szCs w:val="24"/>
    </w:rPr>
  </w:style>
  <w:style w:type="character" w:customStyle="1" w:styleId="141">
    <w:name w:val="标题 6 字符"/>
    <w:basedOn w:val="50"/>
    <w:link w:val="12"/>
    <w:qFormat/>
    <w:uiPriority w:val="0"/>
    <w:rPr>
      <w:rFonts w:ascii="Arial" w:hAnsi="Arial" w:eastAsia="黑体" w:cs="Times New Roman"/>
      <w:b/>
      <w:kern w:val="2"/>
      <w:sz w:val="24"/>
      <w:szCs w:val="24"/>
    </w:rPr>
  </w:style>
  <w:style w:type="character" w:customStyle="1" w:styleId="142">
    <w:name w:val="正文首行缩进 2 字符"/>
    <w:basedOn w:val="75"/>
    <w:link w:val="2"/>
    <w:qFormat/>
    <w:uiPriority w:val="99"/>
    <w:rPr>
      <w:rFonts w:ascii="楷体_GB2312" w:hAnsi="Times New Roman" w:eastAsia="仿宋_GB2312" w:cs="Times New Roman"/>
      <w:kern w:val="2"/>
      <w:sz w:val="28"/>
      <w:szCs w:val="24"/>
    </w:rPr>
  </w:style>
  <w:style w:type="paragraph" w:customStyle="1" w:styleId="143">
    <w:name w:val="（正文）"/>
    <w:basedOn w:val="1"/>
    <w:qFormat/>
    <w:uiPriority w:val="0"/>
    <w:pPr>
      <w:adjustRightInd w:val="0"/>
      <w:snapToGrid w:val="0"/>
      <w:spacing w:line="360" w:lineRule="auto"/>
      <w:ind w:firstLine="1044" w:firstLineChars="200"/>
    </w:pPr>
    <w:rPr>
      <w:sz w:val="24"/>
    </w:rPr>
  </w:style>
  <w:style w:type="paragraph" w:customStyle="1" w:styleId="144">
    <w:name w:val="正文首行缩进2字符"/>
    <w:basedOn w:val="1"/>
    <w:qFormat/>
    <w:uiPriority w:val="0"/>
    <w:pPr>
      <w:spacing w:line="360" w:lineRule="auto"/>
      <w:ind w:firstLine="200" w:firstLineChars="200"/>
    </w:pPr>
    <w:rPr>
      <w:sz w:val="24"/>
    </w:rPr>
  </w:style>
  <w:style w:type="paragraph" w:customStyle="1" w:styleId="145">
    <w:name w:val="样式 首行缩进:  0.74 厘米"/>
    <w:basedOn w:val="1"/>
    <w:qFormat/>
    <w:uiPriority w:val="0"/>
    <w:pPr>
      <w:spacing w:beforeLines="50" w:afterLines="50" w:line="360" w:lineRule="auto"/>
      <w:ind w:firstLine="420" w:firstLineChars="200"/>
    </w:pPr>
    <w:rPr>
      <w:rFonts w:eastAsia="仿宋_GB2312" w:cs="宋体"/>
      <w:sz w:val="24"/>
      <w:szCs w:val="20"/>
    </w:rPr>
  </w:style>
  <w:style w:type="character" w:customStyle="1" w:styleId="146">
    <w:name w:val="题注 字符"/>
    <w:link w:val="17"/>
    <w:qFormat/>
    <w:uiPriority w:val="0"/>
    <w:rPr>
      <w:rFonts w:ascii="Arial" w:hAnsi="Arial" w:eastAsia="黑体" w:cs="Times New Roman"/>
      <w:kern w:val="2"/>
      <w:sz w:val="24"/>
      <w:szCs w:val="24"/>
    </w:rPr>
  </w:style>
  <w:style w:type="paragraph" w:customStyle="1" w:styleId="147">
    <w:name w:val="居中图片"/>
    <w:basedOn w:val="1"/>
    <w:next w:val="148"/>
    <w:qFormat/>
    <w:uiPriority w:val="0"/>
    <w:pPr>
      <w:ind w:firstLine="1044" w:firstLineChars="200"/>
      <w:jc w:val="center"/>
    </w:pPr>
    <w:rPr>
      <w:sz w:val="24"/>
    </w:rPr>
  </w:style>
  <w:style w:type="paragraph" w:customStyle="1" w:styleId="148">
    <w:name w:val="居中图示"/>
    <w:basedOn w:val="1"/>
    <w:next w:val="1"/>
    <w:qFormat/>
    <w:uiPriority w:val="99"/>
    <w:pPr>
      <w:spacing w:after="240" w:line="360" w:lineRule="auto"/>
      <w:ind w:firstLine="1120" w:firstLineChars="200"/>
      <w:jc w:val="center"/>
    </w:pPr>
    <w:rPr>
      <w:rFonts w:eastAsia="黑体"/>
      <w:sz w:val="24"/>
      <w:szCs w:val="20"/>
    </w:rPr>
  </w:style>
  <w:style w:type="paragraph" w:customStyle="1" w:styleId="149">
    <w:name w:val="_正文"/>
    <w:basedOn w:val="1"/>
    <w:qFormat/>
    <w:uiPriority w:val="0"/>
    <w:pPr>
      <w:adjustRightInd w:val="0"/>
      <w:snapToGrid w:val="0"/>
      <w:spacing w:line="360" w:lineRule="auto"/>
      <w:ind w:firstLine="200" w:firstLineChars="200"/>
    </w:pPr>
    <w:rPr>
      <w:sz w:val="24"/>
      <w:szCs w:val="20"/>
    </w:rPr>
  </w:style>
  <w:style w:type="paragraph" w:customStyle="1" w:styleId="150">
    <w:name w:val="列表段落1"/>
    <w:basedOn w:val="1"/>
    <w:qFormat/>
    <w:uiPriority w:val="34"/>
    <w:pPr>
      <w:spacing w:line="360" w:lineRule="auto"/>
      <w:ind w:firstLine="420" w:firstLineChars="200"/>
    </w:pPr>
    <w:rPr>
      <w:sz w:val="24"/>
    </w:rPr>
  </w:style>
  <w:style w:type="paragraph" w:customStyle="1" w:styleId="151">
    <w:name w:val="标书正文"/>
    <w:basedOn w:val="1"/>
    <w:qFormat/>
    <w:uiPriority w:val="0"/>
    <w:pPr>
      <w:snapToGrid w:val="0"/>
      <w:spacing w:beforeLines="100" w:afterLines="100" w:line="360" w:lineRule="auto"/>
      <w:ind w:firstLine="420" w:firstLineChars="200"/>
    </w:pPr>
    <w:rPr>
      <w:rFonts w:cs="宋体"/>
      <w:sz w:val="24"/>
      <w:szCs w:val="20"/>
    </w:rPr>
  </w:style>
  <w:style w:type="paragraph" w:customStyle="1" w:styleId="152">
    <w:name w:val="H4"/>
    <w:basedOn w:val="10"/>
    <w:next w:val="1"/>
    <w:qFormat/>
    <w:uiPriority w:val="0"/>
    <w:pPr>
      <w:numPr>
        <w:ilvl w:val="4"/>
        <w:numId w:val="5"/>
      </w:numPr>
      <w:tabs>
        <w:tab w:val="left" w:pos="864"/>
      </w:tabs>
      <w:spacing w:before="0" w:after="0" w:line="377" w:lineRule="auto"/>
      <w:jc w:val="left"/>
    </w:pPr>
    <w:rPr>
      <w:bCs w:val="0"/>
      <w:szCs w:val="24"/>
      <w:lang w:val="zh-CN"/>
    </w:rPr>
  </w:style>
  <w:style w:type="paragraph" w:customStyle="1" w:styleId="153">
    <w:name w:val="H5"/>
    <w:basedOn w:val="11"/>
    <w:next w:val="1"/>
    <w:qFormat/>
    <w:uiPriority w:val="0"/>
    <w:pPr>
      <w:keepLines/>
      <w:numPr>
        <w:ilvl w:val="5"/>
        <w:numId w:val="5"/>
      </w:numPr>
      <w:spacing w:before="120" w:after="120" w:line="360" w:lineRule="auto"/>
      <w:jc w:val="left"/>
    </w:pPr>
    <w:rPr>
      <w:rFonts w:ascii="Calibri" w:hAnsi="Calibri" w:eastAsia="黑体"/>
      <w:sz w:val="30"/>
      <w:szCs w:val="28"/>
      <w:lang w:val="zh-CN"/>
    </w:rPr>
  </w:style>
  <w:style w:type="paragraph" w:customStyle="1" w:styleId="154">
    <w:name w:val="H6"/>
    <w:basedOn w:val="12"/>
    <w:next w:val="1"/>
    <w:qFormat/>
    <w:uiPriority w:val="0"/>
    <w:pPr>
      <w:numPr>
        <w:ilvl w:val="6"/>
        <w:numId w:val="5"/>
      </w:numPr>
      <w:spacing w:before="120" w:after="120" w:line="360" w:lineRule="auto"/>
    </w:pPr>
    <w:rPr>
      <w:rFonts w:eastAsia="宋体"/>
      <w:sz w:val="28"/>
    </w:rPr>
  </w:style>
  <w:style w:type="character" w:customStyle="1" w:styleId="155">
    <w:name w:val="font81"/>
    <w:basedOn w:val="50"/>
    <w:qFormat/>
    <w:uiPriority w:val="0"/>
    <w:rPr>
      <w:rFonts w:hint="eastAsia" w:ascii="宋体" w:hAnsi="宋体" w:eastAsia="宋体" w:cs="宋体"/>
      <w:b/>
      <w:color w:val="auto"/>
      <w:sz w:val="20"/>
      <w:szCs w:val="20"/>
      <w:u w:val="none"/>
    </w:rPr>
  </w:style>
  <w:style w:type="character" w:customStyle="1" w:styleId="156">
    <w:name w:val="font61"/>
    <w:basedOn w:val="50"/>
    <w:qFormat/>
    <w:uiPriority w:val="0"/>
    <w:rPr>
      <w:rFonts w:hint="eastAsia" w:ascii="宋体" w:hAnsi="宋体" w:eastAsia="宋体" w:cs="宋体"/>
      <w:color w:val="auto"/>
      <w:sz w:val="20"/>
      <w:szCs w:val="20"/>
      <w:u w:val="none"/>
    </w:rPr>
  </w:style>
  <w:style w:type="character" w:customStyle="1" w:styleId="157">
    <w:name w:val="font71"/>
    <w:basedOn w:val="50"/>
    <w:qFormat/>
    <w:uiPriority w:val="0"/>
    <w:rPr>
      <w:rFonts w:hint="default" w:ascii="Times New Roman" w:hAnsi="Times New Roman" w:cs="Times New Roman"/>
      <w:color w:val="auto"/>
      <w:sz w:val="20"/>
      <w:szCs w:val="20"/>
      <w:u w:val="none"/>
    </w:rPr>
  </w:style>
  <w:style w:type="character" w:customStyle="1" w:styleId="158">
    <w:name w:val="font111"/>
    <w:basedOn w:val="50"/>
    <w:qFormat/>
    <w:uiPriority w:val="0"/>
    <w:rPr>
      <w:rFonts w:hint="default" w:ascii="Times New Roman" w:hAnsi="Times New Roman" w:cs="Times New Roman"/>
      <w:color w:val="FF0000"/>
      <w:sz w:val="20"/>
      <w:szCs w:val="20"/>
      <w:u w:val="none"/>
    </w:rPr>
  </w:style>
  <w:style w:type="character" w:customStyle="1" w:styleId="159">
    <w:name w:val="font101"/>
    <w:basedOn w:val="50"/>
    <w:qFormat/>
    <w:uiPriority w:val="0"/>
    <w:rPr>
      <w:rFonts w:hint="eastAsia" w:ascii="宋体" w:hAnsi="宋体" w:eastAsia="宋体" w:cs="宋体"/>
      <w:color w:val="FF0000"/>
      <w:sz w:val="20"/>
      <w:szCs w:val="20"/>
      <w:u w:val="none"/>
    </w:rPr>
  </w:style>
  <w:style w:type="paragraph" w:customStyle="1" w:styleId="160">
    <w:name w:val="Body text|1"/>
    <w:basedOn w:val="1"/>
    <w:qFormat/>
    <w:uiPriority w:val="0"/>
    <w:pPr>
      <w:spacing w:line="480" w:lineRule="auto"/>
      <w:ind w:firstLine="400"/>
    </w:pPr>
    <w:rPr>
      <w:rFonts w:ascii="宋体" w:hAnsi="宋体" w:cs="宋体"/>
      <w:sz w:val="22"/>
      <w:szCs w:val="22"/>
      <w:lang w:val="zh-TW" w:eastAsia="zh-TW" w:bidi="zh-TW"/>
    </w:rPr>
  </w:style>
  <w:style w:type="character" w:customStyle="1" w:styleId="161">
    <w:name w:val="apple-converted-space"/>
    <w:qFormat/>
    <w:uiPriority w:val="99"/>
  </w:style>
  <w:style w:type="paragraph" w:customStyle="1" w:styleId="162">
    <w:name w:val="CM64"/>
    <w:basedOn w:val="59"/>
    <w:next w:val="1"/>
    <w:unhideWhenUsed/>
    <w:qFormat/>
    <w:uiPriority w:val="99"/>
    <w:pPr>
      <w:spacing w:line="491" w:lineRule="atLeast"/>
      <w:ind w:firstLine="0" w:firstLineChars="0"/>
      <w:jc w:val="left"/>
    </w:pPr>
    <w:rPr>
      <w:rFonts w:ascii="仿宋_GB2312" w:hAnsi="Times New Roman" w:eastAsia="仿宋_GB2312" w:cs="仿宋_GB2312"/>
    </w:rPr>
  </w:style>
  <w:style w:type="character" w:customStyle="1" w:styleId="163">
    <w:name w:val="NormalCharacter"/>
    <w:semiHidden/>
    <w:qFormat/>
    <w:uiPriority w:val="0"/>
  </w:style>
  <w:style w:type="paragraph" w:customStyle="1" w:styleId="164">
    <w:name w:val="Heading1"/>
    <w:basedOn w:val="1"/>
    <w:next w:val="1"/>
    <w:qFormat/>
    <w:uiPriority w:val="0"/>
    <w:pPr>
      <w:keepNext/>
      <w:jc w:val="center"/>
    </w:pPr>
    <w:rPr>
      <w:rFonts w:ascii="楷体_GB2312" w:eastAsia="楷体_GB2312"/>
      <w:sz w:val="28"/>
      <w:szCs w:val="28"/>
    </w:rPr>
  </w:style>
  <w:style w:type="paragraph" w:customStyle="1" w:styleId="165">
    <w:name w:val="PlainText"/>
    <w:basedOn w:val="1"/>
    <w:qFormat/>
    <w:uiPriority w:val="0"/>
    <w:rPr>
      <w:rFonts w:ascii="宋体" w:hAnsi="Courier New"/>
    </w:rPr>
  </w:style>
  <w:style w:type="paragraph" w:customStyle="1" w:styleId="166">
    <w:name w:val="HtmlNormal"/>
    <w:basedOn w:val="1"/>
    <w:qFormat/>
    <w:uiPriority w:val="0"/>
    <w:pPr>
      <w:spacing w:before="100" w:beforeAutospacing="1" w:after="100" w:afterAutospacing="1"/>
      <w:jc w:val="left"/>
    </w:pPr>
    <w:rPr>
      <w:rFonts w:ascii="宋体" w:hAnsi="宋体"/>
      <w:kern w:val="0"/>
      <w:sz w:val="24"/>
    </w:rPr>
  </w:style>
  <w:style w:type="table" w:customStyle="1" w:styleId="167">
    <w:name w:val="Table Normal"/>
    <w:unhideWhenUsed/>
    <w:qFormat/>
    <w:uiPriority w:val="0"/>
    <w:tblPr>
      <w:tblCellMar>
        <w:top w:w="0" w:type="dxa"/>
        <w:left w:w="0" w:type="dxa"/>
        <w:bottom w:w="0" w:type="dxa"/>
        <w:right w:w="0" w:type="dxa"/>
      </w:tblCellMar>
    </w:tblPr>
  </w:style>
  <w:style w:type="character" w:customStyle="1" w:styleId="168">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3351</Words>
  <Characters>19101</Characters>
  <Lines>159</Lines>
  <Paragraphs>44</Paragraphs>
  <TotalTime>1152</TotalTime>
  <ScaleCrop>false</ScaleCrop>
  <LinksUpToDate>false</LinksUpToDate>
  <CharactersWithSpaces>22408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2023-11-21T08:23:00Z</dcterms:created>
  <dc:creator>Administrator</dc:creator>
  <cp:lastModifiedBy>城市里的追梦人</cp:lastModifiedBy>
  <cp:lastPrinted>2023-11-29T08:20:00Z</cp:lastPrinted>
  <dcterms:modified xsi:type="dcterms:W3CDTF">2023-12-04T03:59:45Z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C9FA6A2F9E9D4D53AEDA5A027E62AD27_13</vt:lpwstr>
  </property>
</Properties>
</file>