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s>
        <w:spacing w:line="440" w:lineRule="exact"/>
        <w:jc w:val="center"/>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盐城工业职业技术学院经贸管理学院会计实训室改造项目</w:t>
      </w:r>
    </w:p>
    <w:p>
      <w:pPr>
        <w:tabs>
          <w:tab w:val="left" w:pos="900"/>
        </w:tabs>
        <w:spacing w:line="440" w:lineRule="exact"/>
        <w:jc w:val="center"/>
        <w:rPr>
          <w:rFonts w:ascii="楷体" w:hAnsi="楷体" w:eastAsia="楷体" w:cs="楷体"/>
          <w:b/>
          <w:bCs/>
          <w:sz w:val="32"/>
          <w:szCs w:val="32"/>
        </w:rPr>
      </w:pPr>
      <w:r>
        <w:rPr>
          <w:rFonts w:hint="eastAsia" w:ascii="楷体" w:hAnsi="楷体" w:eastAsia="楷体" w:cs="楷体"/>
          <w:b/>
          <w:bCs/>
          <w:sz w:val="32"/>
          <w:szCs w:val="32"/>
        </w:rPr>
        <w:t>招标公告</w:t>
      </w:r>
    </w:p>
    <w:p>
      <w:pPr>
        <w:tabs>
          <w:tab w:val="left" w:pos="900"/>
        </w:tabs>
        <w:spacing w:line="440" w:lineRule="exact"/>
        <w:ind w:firstLine="480" w:firstLineChars="200"/>
        <w:jc w:val="left"/>
        <w:rPr>
          <w:rFonts w:ascii="楷体" w:hAnsi="楷体" w:eastAsia="楷体" w:cs="楷体"/>
          <w:sz w:val="24"/>
        </w:rPr>
      </w:pP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根据盐城工业职业技术学院招标采购计划，江苏双清工程造价咨询有限公司受盐城工业职业技术学院</w:t>
      </w:r>
      <w:r>
        <w:rPr>
          <w:rFonts w:hint="eastAsia" w:ascii="楷体" w:hAnsi="楷体" w:eastAsia="楷体" w:cs="楷体"/>
          <w:sz w:val="24"/>
        </w:rPr>
        <w:softHyphen/>
      </w:r>
      <w:r>
        <w:rPr>
          <w:rFonts w:hint="eastAsia" w:ascii="楷体" w:hAnsi="楷体" w:eastAsia="楷体" w:cs="楷体"/>
          <w:sz w:val="24"/>
        </w:rPr>
        <w:softHyphen/>
      </w:r>
      <w:r>
        <w:rPr>
          <w:rFonts w:hint="eastAsia" w:ascii="楷体" w:hAnsi="楷体" w:eastAsia="楷体" w:cs="楷体"/>
          <w:sz w:val="24"/>
        </w:rPr>
        <w:t>的委托，就其所需的</w:t>
      </w:r>
      <w:r>
        <w:rPr>
          <w:rFonts w:hint="eastAsia" w:ascii="楷体" w:hAnsi="楷体" w:eastAsia="楷体" w:cs="楷体"/>
          <w:sz w:val="24"/>
          <w:u w:val="single"/>
          <w:lang w:eastAsia="zh-CN"/>
        </w:rPr>
        <w:t>经贸管理学院会计实训室改造项目</w:t>
      </w:r>
      <w:r>
        <w:rPr>
          <w:rFonts w:hint="eastAsia" w:ascii="楷体" w:hAnsi="楷体" w:eastAsia="楷体" w:cs="楷体"/>
          <w:sz w:val="24"/>
        </w:rPr>
        <w:t>进行公开招标，欢迎符合相关条件的合格投标人投标。</w:t>
      </w:r>
    </w:p>
    <w:p>
      <w:pPr>
        <w:tabs>
          <w:tab w:val="left" w:pos="900"/>
        </w:tabs>
        <w:spacing w:line="440" w:lineRule="exact"/>
        <w:ind w:firstLine="480" w:firstLineChars="200"/>
        <w:jc w:val="left"/>
        <w:rPr>
          <w:rFonts w:ascii="楷体" w:hAnsi="楷体" w:eastAsia="楷体" w:cs="楷体"/>
          <w:b/>
          <w:bCs/>
          <w:sz w:val="24"/>
        </w:rPr>
      </w:pPr>
      <w:r>
        <w:rPr>
          <w:rFonts w:hint="eastAsia" w:ascii="楷体" w:hAnsi="楷体" w:eastAsia="楷体" w:cs="楷体"/>
          <w:b/>
          <w:bCs/>
          <w:sz w:val="24"/>
        </w:rPr>
        <w:t>一、招标工程名称及编号</w:t>
      </w:r>
    </w:p>
    <w:p>
      <w:pPr>
        <w:tabs>
          <w:tab w:val="left" w:pos="900"/>
        </w:tabs>
        <w:spacing w:line="440" w:lineRule="exact"/>
        <w:ind w:firstLine="480" w:firstLineChars="200"/>
        <w:jc w:val="left"/>
        <w:rPr>
          <w:rFonts w:hint="eastAsia" w:ascii="楷体" w:hAnsi="楷体" w:eastAsia="楷体" w:cs="楷体"/>
          <w:sz w:val="24"/>
          <w:lang w:eastAsia="zh-CN"/>
        </w:rPr>
      </w:pPr>
      <w:r>
        <w:rPr>
          <w:rFonts w:hint="eastAsia" w:ascii="楷体" w:hAnsi="楷体" w:eastAsia="楷体" w:cs="楷体"/>
          <w:sz w:val="24"/>
        </w:rPr>
        <w:t>工程名称：</w:t>
      </w:r>
      <w:r>
        <w:rPr>
          <w:rFonts w:hint="eastAsia" w:ascii="楷体" w:hAnsi="楷体" w:eastAsia="楷体" w:cs="楷体"/>
          <w:sz w:val="24"/>
          <w:lang w:eastAsia="zh-CN"/>
        </w:rPr>
        <w:t>盐城工业职业技术学院经贸管理学院会计实训室改造项目</w:t>
      </w:r>
    </w:p>
    <w:p>
      <w:pPr>
        <w:tabs>
          <w:tab w:val="left" w:pos="900"/>
        </w:tabs>
        <w:spacing w:line="440" w:lineRule="exact"/>
        <w:ind w:firstLine="480" w:firstLineChars="200"/>
        <w:jc w:val="left"/>
        <w:rPr>
          <w:rFonts w:hint="eastAsia" w:ascii="楷体" w:hAnsi="楷体" w:eastAsia="楷体" w:cs="楷体"/>
          <w:sz w:val="24"/>
          <w:lang w:eastAsia="zh-CN"/>
        </w:rPr>
      </w:pPr>
      <w:r>
        <w:rPr>
          <w:rFonts w:hint="eastAsia" w:ascii="楷体" w:hAnsi="楷体" w:eastAsia="楷体" w:cs="楷体"/>
          <w:sz w:val="24"/>
        </w:rPr>
        <w:t>标书编号：</w:t>
      </w:r>
      <w:r>
        <w:rPr>
          <w:rFonts w:hint="eastAsia" w:ascii="楷体" w:hAnsi="楷体" w:eastAsia="楷体" w:cs="楷体"/>
          <w:sz w:val="24"/>
          <w:lang w:eastAsia="zh-CN"/>
        </w:rPr>
        <w:t>2020-061S</w:t>
      </w:r>
    </w:p>
    <w:p>
      <w:pPr>
        <w:tabs>
          <w:tab w:val="left" w:pos="900"/>
        </w:tabs>
        <w:spacing w:line="440" w:lineRule="exact"/>
        <w:ind w:firstLine="480" w:firstLineChars="200"/>
        <w:jc w:val="left"/>
        <w:rPr>
          <w:rFonts w:ascii="楷体" w:hAnsi="楷体" w:eastAsia="楷体" w:cs="楷体"/>
          <w:b/>
          <w:bCs/>
          <w:sz w:val="24"/>
        </w:rPr>
      </w:pPr>
      <w:r>
        <w:rPr>
          <w:rFonts w:hint="eastAsia" w:ascii="楷体" w:hAnsi="楷体" w:eastAsia="楷体" w:cs="楷体"/>
          <w:b/>
          <w:bCs/>
          <w:sz w:val="24"/>
        </w:rPr>
        <w:t>二、工程概况</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sz w:val="24"/>
        </w:rPr>
        <w:t>1、工程地点：盐城工业职业技术学院内（盐城市解放南路285号）。</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sz w:val="24"/>
        </w:rPr>
        <w:t>2、工期要求：自甲方通知开工之日起</w:t>
      </w:r>
      <w:r>
        <w:rPr>
          <w:rFonts w:hint="eastAsia" w:ascii="楷体" w:hAnsi="楷体" w:eastAsia="楷体" w:cs="楷体"/>
          <w:sz w:val="24"/>
          <w:lang w:val="en-US" w:eastAsia="zh-CN"/>
        </w:rPr>
        <w:t>25</w:t>
      </w:r>
      <w:r>
        <w:rPr>
          <w:rFonts w:hint="eastAsia" w:ascii="楷体" w:hAnsi="楷体" w:eastAsia="楷体" w:cs="楷体"/>
          <w:sz w:val="24"/>
        </w:rPr>
        <w:t>日历天内全部通过竣工验收合格并交付使用。</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sz w:val="24"/>
        </w:rPr>
        <w:t xml:space="preserve">3、质量要求：国家合格标准。 </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sz w:val="24"/>
        </w:rPr>
        <w:t xml:space="preserve">4、资金来源及落实情况：国有资金且已落实。 </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sz w:val="24"/>
        </w:rPr>
        <w:t>5、招标范围及标段划分：本次招标共为1个标段，</w:t>
      </w:r>
      <w:r>
        <w:rPr>
          <w:rFonts w:hint="eastAsia" w:ascii="楷体" w:hAnsi="楷体" w:eastAsia="楷体" w:cs="楷体"/>
          <w:sz w:val="24"/>
          <w:lang w:eastAsia="zh-CN"/>
        </w:rPr>
        <w:t>盐城工业职业技术学院经贸管理学院会计实训室改造项目</w:t>
      </w:r>
      <w:r>
        <w:rPr>
          <w:rFonts w:hint="eastAsia" w:ascii="楷体" w:hAnsi="楷体" w:eastAsia="楷体" w:cs="楷体"/>
          <w:sz w:val="24"/>
        </w:rPr>
        <w:t>的施工，具体内容详按设计图纸、工程量清单及招标人要求执行，招标人保留进行调整的权利。</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sz w:val="24"/>
        </w:rPr>
        <w:t>6、工程规模：最高限价</w:t>
      </w:r>
      <w:r>
        <w:rPr>
          <w:rFonts w:hint="eastAsia" w:ascii="楷体" w:hAnsi="楷体" w:eastAsia="楷体" w:cs="楷体"/>
          <w:sz w:val="24"/>
          <w:lang w:val="en-US" w:eastAsia="zh-CN"/>
        </w:rPr>
        <w:t>36.5</w:t>
      </w:r>
      <w:r>
        <w:rPr>
          <w:rFonts w:hint="eastAsia" w:ascii="楷体" w:hAnsi="楷体" w:eastAsia="楷体" w:cs="楷体"/>
          <w:sz w:val="24"/>
        </w:rPr>
        <w:t>万元。</w:t>
      </w:r>
    </w:p>
    <w:p>
      <w:pPr>
        <w:tabs>
          <w:tab w:val="left" w:pos="900"/>
        </w:tabs>
        <w:spacing w:line="440" w:lineRule="exact"/>
        <w:ind w:firstLine="480" w:firstLineChars="200"/>
        <w:jc w:val="left"/>
        <w:rPr>
          <w:rFonts w:ascii="楷体" w:hAnsi="楷体" w:eastAsia="楷体" w:cs="楷体"/>
          <w:b/>
          <w:bCs/>
          <w:sz w:val="24"/>
        </w:rPr>
      </w:pPr>
      <w:r>
        <w:rPr>
          <w:rFonts w:hint="eastAsia" w:ascii="楷体" w:hAnsi="楷体" w:eastAsia="楷体" w:cs="楷体"/>
          <w:b/>
          <w:bCs/>
          <w:sz w:val="24"/>
        </w:rPr>
        <w:t>三、投标人资格要求</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1、投标人资格要求：投标人具有建设行政主管部门核发的建筑工程施工总承包三级及以上资质或建筑装修装饰工程专业承包二级及以上资质或有效期内的建筑装饰装修工程设计与施工一体化三级及以上资质的独立法人，并持有安全生产许可证。</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2、财务要求：投标人应具有独立订立合同的能力，未处于财产被接管、冻结和破产状态。</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3、信誉要求</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（1）投标人没有被国家、江苏省省级有关部门及盐城市级有关部门暂停招投标或市场准入资格且在公示处罚期内。</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（4）投标人不存在盐住建建筑【2020】24文规定的安全生产事故情形，且在通报暂停投标资格处罚期内。</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4、投标项目负责人资格要求：项目负责人须具有建筑工程专业二级及以上建造师资格，同时须具有安全生产考核合格证（B类）。</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5、项目负责人从本工程投标文件递交截止之日起必须满足下列条件：</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项目负责人不得同时在两个或者两个以上单位受聘或者执业特指以下三种情形：</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（一）同时在两个及以上单位签订劳动合同或交纳社会保险；</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（二）将本人执（职）业资格证书同时注册在两个及以上单位</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（三）项目负责人担任其他公司法定代表人。</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项目负责人投标截止时不得同时在其他建设工程项目中担任现场管理人员、不在本项目兼任本项目的其它岗位。</w:t>
      </w:r>
      <w:r>
        <w:rPr>
          <w:rFonts w:hint="eastAsia" w:ascii="楷体" w:hAnsi="楷体" w:eastAsia="楷体" w:cs="楷体"/>
          <w:bCs/>
          <w:sz w:val="24"/>
        </w:rPr>
        <w:br w:type="textWrapping"/>
      </w:r>
      <w:r>
        <w:rPr>
          <w:rFonts w:hint="eastAsia" w:ascii="楷体" w:hAnsi="楷体" w:eastAsia="楷体" w:cs="楷体"/>
          <w:bCs/>
          <w:sz w:val="24"/>
        </w:rPr>
        <w:t xml:space="preserve">    在建工程：处于中标结果公告（直接发包的项目以网上合同备案为准）到合同约定的工程全部完成且竣工验收合格期间的工程。竣工验收证明是指由建设单位（或监理）组织工程建设各方验收合格，并签署相应的单位工程质量竣工验收记录或者分部工程质量验收记录等验收文件。</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6、本项目招标人不接受投标人的企业法定代表人担任项目负责人。</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7、本项目招标人不接受企业退休人员担任项目负责人。</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8、投标申请人须保证项目负责人及代理人均为本单位的正式职工，并确保从2020年</w:t>
      </w:r>
      <w:r>
        <w:rPr>
          <w:rFonts w:hint="eastAsia" w:ascii="楷体" w:hAnsi="楷体" w:eastAsia="楷体" w:cs="楷体"/>
          <w:bCs/>
          <w:sz w:val="24"/>
          <w:lang w:val="en-US" w:eastAsia="zh-CN"/>
        </w:rPr>
        <w:t>3</w:t>
      </w:r>
      <w:r>
        <w:rPr>
          <w:rFonts w:hint="eastAsia" w:ascii="楷体" w:hAnsi="楷体" w:eastAsia="楷体" w:cs="楷体"/>
          <w:bCs/>
          <w:sz w:val="24"/>
        </w:rPr>
        <w:t>月开始至投标截止之日当月至少连续6个月均已在本单位缴纳养老保险，中标候选人公示前、异议（投诉）提出时相关单位需提供缴费记录证明原件给招标人核验。（例：如开标日期为2015年10月的某一天，则投标单位需保证以上人员2015年2月以后任意连续6月养老保险均在本单位缴纳）。</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9、本招标工程不接受联合体投标。</w:t>
      </w:r>
    </w:p>
    <w:p>
      <w:pPr>
        <w:spacing w:line="440" w:lineRule="exact"/>
        <w:ind w:firstLine="480" w:firstLineChars="200"/>
        <w:jc w:val="left"/>
        <w:rPr>
          <w:rFonts w:ascii="楷体" w:hAnsi="楷体" w:eastAsia="楷体" w:cs="楷体"/>
          <w:b/>
          <w:kern w:val="0"/>
          <w:sz w:val="24"/>
          <w:shd w:val="clear" w:color="auto" w:fill="FFFFFF"/>
        </w:rPr>
      </w:pPr>
      <w:r>
        <w:rPr>
          <w:rFonts w:hint="eastAsia" w:ascii="楷体" w:hAnsi="楷体" w:eastAsia="楷体" w:cs="楷体"/>
          <w:b/>
          <w:kern w:val="0"/>
          <w:sz w:val="24"/>
          <w:shd w:val="clear" w:color="auto" w:fill="FFFFFF"/>
        </w:rPr>
        <w:t>四、资格审查办法：</w:t>
      </w:r>
      <w:r>
        <w:rPr>
          <w:rFonts w:hint="eastAsia" w:ascii="楷体" w:hAnsi="楷体" w:eastAsia="楷体" w:cs="楷体"/>
          <w:bCs/>
          <w:kern w:val="0"/>
          <w:sz w:val="24"/>
          <w:shd w:val="clear" w:color="auto" w:fill="FFFFFF"/>
        </w:rPr>
        <w:t>资格后审。</w:t>
      </w:r>
    </w:p>
    <w:p>
      <w:pPr>
        <w:spacing w:line="440" w:lineRule="exact"/>
        <w:ind w:firstLine="480" w:firstLineChars="200"/>
        <w:jc w:val="left"/>
        <w:rPr>
          <w:rFonts w:ascii="楷体" w:hAnsi="楷体" w:eastAsia="楷体" w:cs="楷体"/>
          <w:sz w:val="24"/>
        </w:rPr>
      </w:pPr>
      <w:r>
        <w:rPr>
          <w:rFonts w:hint="eastAsia" w:ascii="楷体" w:hAnsi="楷体" w:eastAsia="楷体" w:cs="楷体"/>
          <w:b/>
          <w:kern w:val="0"/>
          <w:sz w:val="24"/>
          <w:shd w:val="clear" w:color="auto" w:fill="FFFFFF"/>
        </w:rPr>
        <w:t>五、评标定标办法：</w:t>
      </w:r>
      <w:r>
        <w:rPr>
          <w:rFonts w:hint="eastAsia" w:ascii="楷体" w:hAnsi="楷体" w:eastAsia="楷体" w:cs="楷体"/>
          <w:sz w:val="24"/>
        </w:rPr>
        <w:t>采用</w:t>
      </w:r>
      <w:r>
        <w:rPr>
          <w:rFonts w:hint="eastAsia" w:ascii="楷体" w:hAnsi="楷体" w:eastAsia="楷体" w:cs="楷体"/>
          <w:sz w:val="24"/>
          <w:u w:val="single"/>
        </w:rPr>
        <w:t>盐城ABCD合成法</w:t>
      </w:r>
      <w:r>
        <w:rPr>
          <w:rFonts w:hint="eastAsia" w:ascii="楷体" w:hAnsi="楷体" w:eastAsia="楷体" w:cs="楷体"/>
          <w:sz w:val="24"/>
        </w:rPr>
        <w:t>，具体详见招标文件正文。</w:t>
      </w:r>
    </w:p>
    <w:p>
      <w:pPr>
        <w:spacing w:line="440" w:lineRule="exact"/>
        <w:ind w:firstLine="480" w:firstLineChars="200"/>
        <w:jc w:val="left"/>
        <w:rPr>
          <w:rFonts w:ascii="楷体" w:hAnsi="楷体" w:eastAsia="楷体" w:cs="楷体"/>
          <w:b/>
          <w:bCs/>
          <w:sz w:val="24"/>
        </w:rPr>
      </w:pPr>
      <w:r>
        <w:rPr>
          <w:rFonts w:hint="eastAsia" w:ascii="楷体" w:hAnsi="楷体" w:eastAsia="楷体" w:cs="楷体"/>
          <w:b/>
          <w:bCs/>
          <w:sz w:val="24"/>
        </w:rPr>
        <w:t>六、招标文件提供信息</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 xml:space="preserve">招标公告发布媒体：“盐城市政府采购网”和“盐城工业职业技术学院招标采购网” </w:t>
      </w:r>
    </w:p>
    <w:p>
      <w:pPr>
        <w:spacing w:line="440" w:lineRule="exact"/>
        <w:ind w:firstLine="480" w:firstLineChars="200"/>
        <w:rPr>
          <w:rFonts w:ascii="楷体" w:hAnsi="楷体" w:eastAsia="楷体" w:cs="楷体"/>
          <w:bCs/>
          <w:sz w:val="24"/>
        </w:rPr>
      </w:pPr>
      <w:r>
        <w:rPr>
          <w:rFonts w:hint="eastAsia" w:ascii="楷体" w:hAnsi="楷体" w:eastAsia="楷体" w:cs="楷体"/>
          <w:bCs/>
          <w:sz w:val="24"/>
        </w:rPr>
        <w:t>本招标公告发布后凡具备上述资格要求，并自愿参加本工程投标的申请人于</w:t>
      </w:r>
      <w:r>
        <w:rPr>
          <w:rFonts w:hint="eastAsia" w:ascii="楷体_GB2312" w:hAnsi="楷体_GB2312" w:eastAsia="楷体_GB2312" w:cs="楷体_GB2312"/>
          <w:bCs/>
          <w:color w:val="auto"/>
          <w:sz w:val="24"/>
          <w:u w:val="single"/>
        </w:rPr>
        <w:t>2020年</w:t>
      </w:r>
      <w:r>
        <w:rPr>
          <w:rFonts w:hint="eastAsia" w:ascii="楷体_GB2312" w:hAnsi="楷体_GB2312" w:eastAsia="楷体_GB2312" w:cs="楷体_GB2312"/>
          <w:bCs/>
          <w:color w:val="auto"/>
          <w:sz w:val="24"/>
          <w:u w:val="single"/>
          <w:lang w:val="en-US" w:eastAsia="zh-CN"/>
        </w:rPr>
        <w:t>11</w:t>
      </w:r>
      <w:r>
        <w:rPr>
          <w:rFonts w:hint="eastAsia" w:ascii="楷体_GB2312" w:hAnsi="楷体_GB2312" w:eastAsia="楷体_GB2312" w:cs="楷体_GB2312"/>
          <w:bCs/>
          <w:color w:val="auto"/>
          <w:sz w:val="24"/>
          <w:u w:val="single"/>
        </w:rPr>
        <w:t>月</w:t>
      </w:r>
      <w:r>
        <w:rPr>
          <w:rFonts w:hint="eastAsia" w:ascii="楷体_GB2312" w:hAnsi="楷体_GB2312" w:eastAsia="楷体_GB2312" w:cs="楷体_GB2312"/>
          <w:bCs/>
          <w:color w:val="auto"/>
          <w:sz w:val="24"/>
          <w:u w:val="single"/>
          <w:lang w:val="en-US" w:eastAsia="zh-CN"/>
        </w:rPr>
        <w:t>12</w:t>
      </w:r>
      <w:r>
        <w:rPr>
          <w:rFonts w:hint="eastAsia" w:ascii="楷体_GB2312" w:hAnsi="楷体_GB2312" w:eastAsia="楷体_GB2312" w:cs="楷体_GB2312"/>
          <w:bCs/>
          <w:color w:val="auto"/>
          <w:sz w:val="24"/>
          <w:u w:val="single"/>
        </w:rPr>
        <w:t>日至2020年</w:t>
      </w:r>
      <w:r>
        <w:rPr>
          <w:rFonts w:hint="eastAsia" w:ascii="楷体_GB2312" w:hAnsi="楷体_GB2312" w:eastAsia="楷体_GB2312" w:cs="楷体_GB2312"/>
          <w:bCs/>
          <w:color w:val="auto"/>
          <w:sz w:val="24"/>
          <w:u w:val="single"/>
          <w:lang w:val="en-US" w:eastAsia="zh-CN"/>
        </w:rPr>
        <w:t>11</w:t>
      </w:r>
      <w:r>
        <w:rPr>
          <w:rFonts w:hint="eastAsia" w:ascii="楷体_GB2312" w:hAnsi="楷体_GB2312" w:eastAsia="楷体_GB2312" w:cs="楷体_GB2312"/>
          <w:bCs/>
          <w:color w:val="auto"/>
          <w:sz w:val="24"/>
          <w:u w:val="single"/>
        </w:rPr>
        <w:t>月</w:t>
      </w:r>
      <w:r>
        <w:rPr>
          <w:rFonts w:hint="eastAsia" w:ascii="楷体_GB2312" w:hAnsi="楷体_GB2312" w:eastAsia="楷体_GB2312" w:cs="楷体_GB2312"/>
          <w:bCs/>
          <w:color w:val="auto"/>
          <w:sz w:val="24"/>
          <w:u w:val="single"/>
          <w:lang w:val="en-US" w:eastAsia="zh-CN"/>
        </w:rPr>
        <w:t>19</w:t>
      </w:r>
      <w:r>
        <w:rPr>
          <w:rFonts w:hint="eastAsia" w:ascii="楷体_GB2312" w:hAnsi="楷体_GB2312" w:eastAsia="楷体_GB2312" w:cs="楷体_GB2312"/>
          <w:bCs/>
          <w:color w:val="auto"/>
          <w:sz w:val="24"/>
          <w:u w:val="single"/>
        </w:rPr>
        <w:t>日18：00时</w:t>
      </w:r>
      <w:r>
        <w:rPr>
          <w:rFonts w:hint="eastAsia" w:ascii="楷体" w:hAnsi="楷体" w:eastAsia="楷体" w:cs="楷体"/>
          <w:bCs/>
          <w:sz w:val="24"/>
        </w:rPr>
        <w:t>前（工作日上午8：30时至12：00时，下午14：30时至18：00时），携带《供应商参与投标确认函》原件（格式后附）、报名人身份证原件及加盖公章的复印件至江苏双清工程造价咨询有限公司（盐城市紫薇广场C区7楼）财务部报名并购买招标文件后方可参加投标。逾期报名或未购买招标文件参加投标的，招标人将予以拒绝。招标文件工本费人民币</w:t>
      </w:r>
      <w:r>
        <w:rPr>
          <w:rFonts w:hint="eastAsia" w:ascii="楷体" w:hAnsi="楷体" w:eastAsia="楷体" w:cs="楷体"/>
          <w:bCs/>
          <w:sz w:val="24"/>
          <w:lang w:val="en-US" w:eastAsia="zh-CN"/>
        </w:rPr>
        <w:t>3</w:t>
      </w:r>
      <w:r>
        <w:rPr>
          <w:rFonts w:hint="eastAsia" w:ascii="楷体" w:hAnsi="楷体" w:eastAsia="楷体" w:cs="楷体"/>
          <w:bCs/>
          <w:sz w:val="24"/>
        </w:rPr>
        <w:t>00元，售后不退。</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有关本次招标的事项若存在变动或修改，敬请及时关注“盐城市政府采购网”和“盐城工业职业技术学院招标采购网”发布的信息更正公告。</w:t>
      </w:r>
    </w:p>
    <w:p>
      <w:pPr>
        <w:tabs>
          <w:tab w:val="left" w:pos="900"/>
        </w:tabs>
        <w:spacing w:line="440" w:lineRule="exact"/>
        <w:ind w:firstLine="480" w:firstLineChars="200"/>
        <w:jc w:val="left"/>
        <w:rPr>
          <w:rFonts w:ascii="楷体" w:hAnsi="楷体" w:eastAsia="楷体" w:cs="楷体"/>
          <w:b/>
          <w:bCs/>
          <w:sz w:val="24"/>
        </w:rPr>
      </w:pPr>
      <w:r>
        <w:rPr>
          <w:rFonts w:hint="eastAsia" w:ascii="楷体" w:hAnsi="楷体" w:eastAsia="楷体" w:cs="楷体"/>
          <w:b/>
          <w:sz w:val="24"/>
        </w:rPr>
        <w:t>七、</w:t>
      </w:r>
      <w:r>
        <w:rPr>
          <w:rFonts w:hint="eastAsia" w:ascii="楷体" w:hAnsi="楷体" w:eastAsia="楷体" w:cs="楷体"/>
          <w:b/>
          <w:bCs/>
          <w:sz w:val="24"/>
        </w:rPr>
        <w:t>投标文件接收信息</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投标文件接收时间：</w:t>
      </w:r>
      <w:r>
        <w:rPr>
          <w:rFonts w:hint="eastAsia" w:ascii="楷体" w:hAnsi="楷体" w:eastAsia="楷体" w:cs="楷体"/>
          <w:sz w:val="24"/>
          <w:u w:val="single"/>
        </w:rPr>
        <w:t>2020年</w:t>
      </w:r>
      <w:r>
        <w:rPr>
          <w:rFonts w:hint="eastAsia" w:ascii="楷体" w:hAnsi="楷体" w:eastAsia="楷体" w:cs="楷体"/>
          <w:sz w:val="24"/>
          <w:u w:val="single"/>
          <w:lang w:val="en-US" w:eastAsia="zh-CN"/>
        </w:rPr>
        <w:t>11</w:t>
      </w:r>
      <w:r>
        <w:rPr>
          <w:rFonts w:hint="eastAsia" w:ascii="楷体" w:hAnsi="楷体" w:eastAsia="楷体" w:cs="楷体"/>
          <w:sz w:val="24"/>
          <w:u w:val="single"/>
        </w:rPr>
        <w:t>月</w:t>
      </w:r>
      <w:r>
        <w:rPr>
          <w:rFonts w:hint="eastAsia" w:ascii="楷体" w:hAnsi="楷体" w:eastAsia="楷体" w:cs="楷体"/>
          <w:sz w:val="24"/>
          <w:u w:val="single"/>
          <w:lang w:val="en-US" w:eastAsia="zh-CN"/>
        </w:rPr>
        <w:t>26</w:t>
      </w:r>
      <w:r>
        <w:rPr>
          <w:rFonts w:hint="eastAsia" w:ascii="楷体" w:hAnsi="楷体" w:eastAsia="楷体" w:cs="楷体"/>
          <w:sz w:val="24"/>
          <w:u w:val="single"/>
        </w:rPr>
        <w:t>日</w:t>
      </w:r>
      <w:r>
        <w:rPr>
          <w:rFonts w:hint="eastAsia" w:ascii="楷体" w:hAnsi="楷体" w:eastAsia="楷体" w:cs="楷体"/>
          <w:sz w:val="24"/>
          <w:u w:val="single"/>
          <w:lang w:val="en-US" w:eastAsia="zh-CN"/>
        </w:rPr>
        <w:t>14</w:t>
      </w:r>
      <w:r>
        <w:rPr>
          <w:rFonts w:hint="eastAsia" w:ascii="楷体" w:hAnsi="楷体" w:eastAsia="楷体" w:cs="楷体"/>
          <w:sz w:val="24"/>
          <w:u w:val="single"/>
        </w:rPr>
        <w:t>：30时</w:t>
      </w:r>
      <w:r>
        <w:rPr>
          <w:rFonts w:hint="eastAsia" w:ascii="楷体" w:hAnsi="楷体" w:eastAsia="楷体" w:cs="楷体"/>
          <w:sz w:val="24"/>
        </w:rPr>
        <w:t xml:space="preserve"> </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投标文件接收截止时间：</w:t>
      </w:r>
      <w:r>
        <w:rPr>
          <w:rFonts w:hint="eastAsia" w:ascii="楷体" w:hAnsi="楷体" w:eastAsia="楷体" w:cs="楷体"/>
          <w:sz w:val="24"/>
          <w:u w:val="single"/>
        </w:rPr>
        <w:t>2020年</w:t>
      </w:r>
      <w:r>
        <w:rPr>
          <w:rFonts w:hint="eastAsia" w:ascii="楷体" w:hAnsi="楷体" w:eastAsia="楷体" w:cs="楷体"/>
          <w:sz w:val="24"/>
          <w:u w:val="single"/>
          <w:lang w:val="en-US" w:eastAsia="zh-CN"/>
        </w:rPr>
        <w:t>11</w:t>
      </w:r>
      <w:r>
        <w:rPr>
          <w:rFonts w:hint="eastAsia" w:ascii="楷体" w:hAnsi="楷体" w:eastAsia="楷体" w:cs="楷体"/>
          <w:sz w:val="24"/>
          <w:u w:val="single"/>
        </w:rPr>
        <w:t>月</w:t>
      </w:r>
      <w:r>
        <w:rPr>
          <w:rFonts w:hint="eastAsia" w:ascii="楷体" w:hAnsi="楷体" w:eastAsia="楷体" w:cs="楷体"/>
          <w:sz w:val="24"/>
          <w:u w:val="single"/>
          <w:lang w:val="en-US" w:eastAsia="zh-CN"/>
        </w:rPr>
        <w:t>26</w:t>
      </w:r>
      <w:r>
        <w:rPr>
          <w:rFonts w:hint="eastAsia" w:ascii="楷体" w:hAnsi="楷体" w:eastAsia="楷体" w:cs="楷体"/>
          <w:sz w:val="24"/>
          <w:u w:val="single"/>
        </w:rPr>
        <w:t>日</w:t>
      </w:r>
      <w:r>
        <w:rPr>
          <w:rFonts w:hint="eastAsia" w:ascii="楷体" w:hAnsi="楷体" w:eastAsia="楷体" w:cs="楷体"/>
          <w:sz w:val="24"/>
          <w:u w:val="single"/>
          <w:lang w:val="en-US" w:eastAsia="zh-CN"/>
        </w:rPr>
        <w:t>15</w:t>
      </w:r>
      <w:r>
        <w:rPr>
          <w:rFonts w:hint="eastAsia" w:ascii="楷体" w:hAnsi="楷体" w:eastAsia="楷体" w:cs="楷体"/>
          <w:sz w:val="24"/>
          <w:u w:val="single"/>
        </w:rPr>
        <w:t>：00时</w:t>
      </w:r>
      <w:r>
        <w:rPr>
          <w:rFonts w:hint="eastAsia" w:ascii="楷体" w:hAnsi="楷体" w:eastAsia="楷体" w:cs="楷体"/>
          <w:sz w:val="24"/>
        </w:rPr>
        <w:t xml:space="preserve"> </w:t>
      </w:r>
    </w:p>
    <w:p>
      <w:pPr>
        <w:tabs>
          <w:tab w:val="left" w:pos="900"/>
        </w:tabs>
        <w:spacing w:line="440" w:lineRule="exact"/>
        <w:ind w:firstLine="480" w:firstLineChars="200"/>
        <w:jc w:val="left"/>
        <w:rPr>
          <w:rFonts w:ascii="楷体" w:hAnsi="楷体" w:eastAsia="楷体" w:cs="楷体"/>
          <w:bCs/>
          <w:sz w:val="24"/>
          <w:u w:val="single"/>
        </w:rPr>
      </w:pPr>
      <w:r>
        <w:rPr>
          <w:rFonts w:hint="eastAsia" w:ascii="楷体" w:hAnsi="楷体" w:eastAsia="楷体" w:cs="楷体"/>
          <w:sz w:val="24"/>
        </w:rPr>
        <w:t>投标文件接收地点：盐城工业职业技术学院（盐城市解放南路285号）后勤服务中心四楼402开标室</w:t>
      </w:r>
    </w:p>
    <w:p>
      <w:pPr>
        <w:tabs>
          <w:tab w:val="left" w:pos="900"/>
        </w:tabs>
        <w:spacing w:line="440" w:lineRule="exact"/>
        <w:ind w:firstLine="480" w:firstLineChars="200"/>
        <w:jc w:val="left"/>
        <w:rPr>
          <w:rFonts w:ascii="楷体" w:hAnsi="楷体" w:eastAsia="楷体" w:cs="楷体"/>
          <w:b/>
          <w:bCs/>
          <w:sz w:val="24"/>
        </w:rPr>
      </w:pPr>
      <w:r>
        <w:rPr>
          <w:rFonts w:hint="eastAsia" w:ascii="楷体" w:hAnsi="楷体" w:eastAsia="楷体" w:cs="楷体"/>
          <w:b/>
          <w:bCs/>
          <w:sz w:val="24"/>
        </w:rPr>
        <w:t>八、开标有关信息</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开标时间：</w:t>
      </w:r>
      <w:r>
        <w:rPr>
          <w:rFonts w:hint="eastAsia" w:ascii="楷体" w:hAnsi="楷体" w:eastAsia="楷体" w:cs="楷体"/>
          <w:sz w:val="24"/>
          <w:u w:val="single"/>
        </w:rPr>
        <w:t>2020年</w:t>
      </w:r>
      <w:r>
        <w:rPr>
          <w:rFonts w:hint="eastAsia" w:ascii="楷体" w:hAnsi="楷体" w:eastAsia="楷体" w:cs="楷体"/>
          <w:sz w:val="24"/>
          <w:u w:val="single"/>
          <w:lang w:val="en-US" w:eastAsia="zh-CN"/>
        </w:rPr>
        <w:t>11</w:t>
      </w:r>
      <w:r>
        <w:rPr>
          <w:rFonts w:hint="eastAsia" w:ascii="楷体" w:hAnsi="楷体" w:eastAsia="楷体" w:cs="楷体"/>
          <w:sz w:val="24"/>
          <w:u w:val="single"/>
        </w:rPr>
        <w:t>月</w:t>
      </w:r>
      <w:r>
        <w:rPr>
          <w:rFonts w:hint="eastAsia" w:ascii="楷体" w:hAnsi="楷体" w:eastAsia="楷体" w:cs="楷体"/>
          <w:sz w:val="24"/>
          <w:u w:val="single"/>
          <w:lang w:val="en-US" w:eastAsia="zh-CN"/>
        </w:rPr>
        <w:t>26</w:t>
      </w:r>
      <w:r>
        <w:rPr>
          <w:rFonts w:hint="eastAsia" w:ascii="楷体" w:hAnsi="楷体" w:eastAsia="楷体" w:cs="楷体"/>
          <w:sz w:val="24"/>
          <w:u w:val="single"/>
        </w:rPr>
        <w:t>日</w:t>
      </w:r>
      <w:r>
        <w:rPr>
          <w:rFonts w:hint="eastAsia" w:ascii="楷体" w:hAnsi="楷体" w:eastAsia="楷体" w:cs="楷体"/>
          <w:sz w:val="24"/>
          <w:u w:val="single"/>
          <w:lang w:val="en-US" w:eastAsia="zh-CN"/>
        </w:rPr>
        <w:t>15</w:t>
      </w:r>
      <w:r>
        <w:rPr>
          <w:rFonts w:hint="eastAsia" w:ascii="楷体" w:hAnsi="楷体" w:eastAsia="楷体" w:cs="楷体"/>
          <w:sz w:val="24"/>
          <w:u w:val="single"/>
        </w:rPr>
        <w:t>：00时</w:t>
      </w:r>
      <w:r>
        <w:rPr>
          <w:rFonts w:hint="eastAsia" w:ascii="楷体" w:hAnsi="楷体" w:eastAsia="楷体" w:cs="楷体"/>
          <w:sz w:val="24"/>
        </w:rPr>
        <w:t xml:space="preserve">  </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开标地点：盐城工业职业技术学院（盐城市解放南路285号）后勤服务中心四楼402开标室</w:t>
      </w:r>
    </w:p>
    <w:p>
      <w:pPr>
        <w:tabs>
          <w:tab w:val="left" w:pos="900"/>
        </w:tabs>
        <w:spacing w:line="440" w:lineRule="exact"/>
        <w:ind w:firstLine="480" w:firstLineChars="200"/>
        <w:jc w:val="left"/>
        <w:rPr>
          <w:rFonts w:hint="eastAsia" w:ascii="楷体" w:hAnsi="楷体" w:eastAsia="楷体" w:cs="楷体"/>
          <w:b/>
          <w:bCs/>
          <w:sz w:val="24"/>
        </w:rPr>
      </w:pPr>
      <w:r>
        <w:rPr>
          <w:rFonts w:hint="eastAsia" w:ascii="楷体" w:hAnsi="楷体" w:eastAsia="楷体" w:cs="楷体"/>
          <w:b/>
          <w:bCs/>
          <w:sz w:val="24"/>
        </w:rPr>
        <w:t>九、本次招标联系事项</w:t>
      </w:r>
    </w:p>
    <w:p>
      <w:pPr>
        <w:tabs>
          <w:tab w:val="left" w:pos="900"/>
        </w:tabs>
        <w:spacing w:line="440" w:lineRule="exact"/>
        <w:ind w:firstLine="480" w:firstLineChars="200"/>
        <w:jc w:val="left"/>
        <w:rPr>
          <w:rFonts w:hint="eastAsia" w:ascii="楷体" w:hAnsi="楷体" w:eastAsia="楷体" w:cs="楷体"/>
          <w:sz w:val="24"/>
        </w:rPr>
      </w:pPr>
      <w:r>
        <w:rPr>
          <w:rFonts w:hint="eastAsia" w:ascii="楷体" w:hAnsi="楷体" w:eastAsia="楷体" w:cs="楷体"/>
          <w:sz w:val="24"/>
        </w:rPr>
        <w:t>（一）采购人项目联系人：</w:t>
      </w:r>
      <w:r>
        <w:rPr>
          <w:rFonts w:hint="eastAsia" w:ascii="楷体" w:hAnsi="楷体" w:eastAsia="楷体" w:cs="楷体"/>
          <w:sz w:val="24"/>
          <w:lang w:val="en-US" w:eastAsia="zh-CN"/>
        </w:rPr>
        <w:t>高大伟、周家忠</w:t>
      </w:r>
      <w:r>
        <w:rPr>
          <w:rFonts w:hint="eastAsia" w:ascii="楷体" w:hAnsi="楷体" w:eastAsia="楷体" w:cs="楷体"/>
          <w:sz w:val="24"/>
        </w:rPr>
        <w:t>，联系电话：</w:t>
      </w:r>
      <w:r>
        <w:rPr>
          <w:rFonts w:hint="eastAsia" w:ascii="楷体" w:hAnsi="楷体" w:eastAsia="楷体" w:cs="楷体"/>
          <w:sz w:val="24"/>
          <w:lang w:val="en-US" w:eastAsia="zh-CN"/>
        </w:rPr>
        <w:t>18262393599、13485246528</w:t>
      </w:r>
      <w:r>
        <w:rPr>
          <w:rFonts w:hint="eastAsia" w:ascii="楷体" w:hAnsi="楷体" w:eastAsia="楷体" w:cs="楷体"/>
          <w:sz w:val="24"/>
        </w:rPr>
        <w:t>；</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采购人招标联系人：赵萌，联系电话：0515-88588707</w:t>
      </w:r>
      <w:bookmarkStart w:id="8" w:name="_GoBack"/>
      <w:bookmarkEnd w:id="8"/>
      <w:r>
        <w:rPr>
          <w:rFonts w:hint="eastAsia" w:ascii="楷体" w:hAnsi="楷体" w:eastAsia="楷体" w:cs="楷体"/>
          <w:sz w:val="24"/>
        </w:rPr>
        <w:t>；</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地址：盐城工业职业技术学院后勤服务中心四楼405室；</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（二）招标代理机构联系人：张旭良， 联系电话：0515-88200316、13515130964；</w:t>
      </w:r>
    </w:p>
    <w:p>
      <w:pPr>
        <w:tabs>
          <w:tab w:val="left" w:pos="900"/>
        </w:tabs>
        <w:spacing w:line="440" w:lineRule="exact"/>
        <w:ind w:firstLine="480" w:firstLineChars="200"/>
        <w:jc w:val="left"/>
        <w:rPr>
          <w:rFonts w:ascii="楷体" w:hAnsi="楷体" w:eastAsia="楷体" w:cs="楷体"/>
          <w:sz w:val="24"/>
        </w:rPr>
      </w:pPr>
      <w:r>
        <w:rPr>
          <w:rFonts w:hint="eastAsia" w:ascii="楷体" w:hAnsi="楷体" w:eastAsia="楷体" w:cs="楷体"/>
          <w:sz w:val="24"/>
        </w:rPr>
        <w:t xml:space="preserve">招标代理机构联系地址：盐城市紫薇广场C区7楼。 </w:t>
      </w:r>
    </w:p>
    <w:p>
      <w:pPr>
        <w:spacing w:line="440" w:lineRule="exact"/>
        <w:ind w:firstLine="480" w:firstLineChars="200"/>
        <w:jc w:val="left"/>
        <w:rPr>
          <w:rFonts w:ascii="楷体" w:hAnsi="楷体" w:eastAsia="楷体" w:cs="楷体"/>
          <w:b/>
          <w:sz w:val="24"/>
        </w:rPr>
      </w:pPr>
      <w:r>
        <w:rPr>
          <w:rFonts w:hint="eastAsia" w:ascii="楷体" w:hAnsi="楷体" w:eastAsia="楷体" w:cs="楷体"/>
          <w:b/>
          <w:sz w:val="24"/>
        </w:rPr>
        <w:t>十、投标文件制作份数要求</w:t>
      </w:r>
    </w:p>
    <w:p>
      <w:pPr>
        <w:spacing w:line="440" w:lineRule="exact"/>
        <w:ind w:firstLine="480" w:firstLineChars="200"/>
        <w:jc w:val="left"/>
        <w:rPr>
          <w:rFonts w:ascii="楷体" w:hAnsi="楷体" w:eastAsia="楷体" w:cs="楷体"/>
          <w:sz w:val="24"/>
        </w:rPr>
      </w:pPr>
      <w:r>
        <w:rPr>
          <w:rFonts w:hint="eastAsia" w:ascii="楷体" w:hAnsi="楷体" w:eastAsia="楷体" w:cs="楷体"/>
          <w:sz w:val="24"/>
        </w:rPr>
        <w:t>正本份数：1份，副本份数：4份。</w:t>
      </w:r>
    </w:p>
    <w:p>
      <w:pPr>
        <w:spacing w:line="440" w:lineRule="exact"/>
        <w:ind w:firstLine="480" w:firstLineChars="200"/>
        <w:jc w:val="left"/>
        <w:rPr>
          <w:rFonts w:ascii="楷体" w:hAnsi="楷体" w:eastAsia="楷体" w:cs="楷体"/>
          <w:b/>
          <w:bCs/>
          <w:sz w:val="24"/>
        </w:rPr>
      </w:pPr>
      <w:r>
        <w:rPr>
          <w:rFonts w:hint="eastAsia" w:ascii="楷体" w:hAnsi="楷体" w:eastAsia="楷体" w:cs="楷体"/>
          <w:b/>
          <w:bCs/>
          <w:sz w:val="24"/>
        </w:rPr>
        <w:t>十一、本次招标投标保证金</w:t>
      </w:r>
    </w:p>
    <w:p>
      <w:pPr>
        <w:spacing w:line="440" w:lineRule="exact"/>
        <w:ind w:firstLine="480" w:firstLineChars="200"/>
        <w:outlineLvl w:val="1"/>
        <w:rPr>
          <w:rFonts w:ascii="楷体" w:hAnsi="楷体" w:eastAsia="楷体" w:cs="楷体"/>
          <w:sz w:val="24"/>
        </w:rPr>
      </w:pPr>
      <w:r>
        <w:rPr>
          <w:rFonts w:hint="eastAsia" w:ascii="楷体" w:hAnsi="楷体" w:eastAsia="楷体" w:cs="楷体"/>
          <w:sz w:val="24"/>
        </w:rPr>
        <w:t>本次招标收取保证金。本工程投标保证金金额为人民币</w:t>
      </w:r>
      <w:r>
        <w:rPr>
          <w:rFonts w:hint="eastAsia" w:ascii="楷体" w:hAnsi="楷体" w:eastAsia="楷体" w:cs="楷体"/>
          <w:sz w:val="24"/>
          <w:u w:val="single"/>
          <w:lang w:eastAsia="zh-CN"/>
        </w:rPr>
        <w:t>陆仟元</w:t>
      </w:r>
      <w:r>
        <w:rPr>
          <w:rFonts w:hint="eastAsia" w:ascii="楷体" w:hAnsi="楷体" w:eastAsia="楷体" w:cs="楷体"/>
          <w:sz w:val="24"/>
          <w:u w:val="single"/>
        </w:rPr>
        <w:t>整</w:t>
      </w:r>
      <w:r>
        <w:rPr>
          <w:rFonts w:hint="eastAsia" w:ascii="楷体" w:hAnsi="楷体" w:eastAsia="楷体" w:cs="楷体"/>
          <w:sz w:val="24"/>
        </w:rPr>
        <w:t>，投标保证金必须在</w:t>
      </w:r>
      <w:r>
        <w:rPr>
          <w:rFonts w:hint="eastAsia" w:ascii="楷体" w:hAnsi="楷体" w:eastAsia="楷体" w:cs="楷体"/>
          <w:bCs/>
          <w:sz w:val="24"/>
        </w:rPr>
        <w:t>投标文件接收截止时间</w:t>
      </w:r>
      <w:r>
        <w:rPr>
          <w:rFonts w:hint="eastAsia" w:ascii="楷体" w:hAnsi="楷体" w:eastAsia="楷体" w:cs="楷体"/>
          <w:sz w:val="24"/>
        </w:rPr>
        <w:t>前与投标文件一起送达投标文件接收地点（不要密封在响应文件中）。</w:t>
      </w:r>
    </w:p>
    <w:p>
      <w:pPr>
        <w:spacing w:line="440" w:lineRule="exact"/>
        <w:ind w:firstLine="480" w:firstLineChars="200"/>
        <w:outlineLvl w:val="1"/>
        <w:rPr>
          <w:rFonts w:ascii="楷体" w:hAnsi="楷体" w:eastAsia="楷体" w:cs="楷体"/>
          <w:sz w:val="24"/>
        </w:rPr>
      </w:pPr>
      <w:r>
        <w:rPr>
          <w:rFonts w:hint="eastAsia" w:ascii="楷体" w:hAnsi="楷体" w:eastAsia="楷体" w:cs="楷体"/>
          <w:b/>
          <w:kern w:val="0"/>
          <w:sz w:val="24"/>
        </w:rPr>
        <w:t>投标保证金必须采用有效银行本票或银行汇票，不接受电汇、转账、现金、现金交款单、支票或其他形式的保证金。</w:t>
      </w:r>
      <w:r>
        <w:rPr>
          <w:rFonts w:hint="eastAsia" w:ascii="楷体" w:hAnsi="楷体" w:eastAsia="楷体" w:cs="楷体"/>
          <w:kern w:val="0"/>
          <w:sz w:val="24"/>
        </w:rPr>
        <w:t>各投标人须在</w:t>
      </w:r>
      <w:r>
        <w:rPr>
          <w:rFonts w:hint="eastAsia" w:ascii="楷体" w:hAnsi="楷体" w:eastAsia="楷体" w:cs="楷体"/>
          <w:bCs/>
          <w:sz w:val="24"/>
        </w:rPr>
        <w:t>投标文件接收截止时间</w:t>
      </w:r>
      <w:r>
        <w:rPr>
          <w:rFonts w:hint="eastAsia" w:ascii="楷体" w:hAnsi="楷体" w:eastAsia="楷体" w:cs="楷体"/>
          <w:kern w:val="0"/>
          <w:sz w:val="24"/>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sz w:val="24"/>
        </w:rPr>
        <w:t>江苏双清工程造价咨询有限公司，开户行：中行盐城分行营业部，账号：513158208001</w:t>
      </w:r>
      <w:r>
        <w:rPr>
          <w:rFonts w:hint="eastAsia" w:ascii="楷体" w:hAnsi="楷体" w:eastAsia="楷体" w:cs="楷体"/>
          <w:kern w:val="0"/>
          <w:sz w:val="24"/>
        </w:rPr>
        <w:t>。</w:t>
      </w:r>
      <w:r>
        <w:rPr>
          <w:rFonts w:hint="eastAsia" w:ascii="楷体" w:hAnsi="楷体" w:eastAsia="楷体" w:cs="楷体"/>
          <w:bCs/>
          <w:sz w:val="24"/>
        </w:rPr>
        <w:t>投标文件接收截止时间前</w:t>
      </w:r>
      <w:r>
        <w:rPr>
          <w:rFonts w:hint="eastAsia" w:ascii="楷体" w:hAnsi="楷体" w:eastAsia="楷体" w:cs="楷体"/>
          <w:kern w:val="0"/>
          <w:sz w:val="24"/>
        </w:rPr>
        <w:t>，各投标人将有效银行本票原件或银行汇票原件带至开标现场交工作人员核验，未按上述要求交纳投标保证金的，</w:t>
      </w:r>
      <w:r>
        <w:rPr>
          <w:rFonts w:hint="eastAsia" w:ascii="楷体" w:hAnsi="楷体" w:eastAsia="楷体" w:cs="楷体"/>
          <w:sz w:val="24"/>
        </w:rPr>
        <w:t>将被视为非响应性投标而予以拒绝。</w:t>
      </w:r>
    </w:p>
    <w:p>
      <w:pPr>
        <w:spacing w:line="440" w:lineRule="exact"/>
        <w:ind w:firstLine="480" w:firstLineChars="200"/>
        <w:outlineLvl w:val="1"/>
        <w:rPr>
          <w:rFonts w:ascii="楷体" w:hAnsi="楷体" w:eastAsia="楷体" w:cs="楷体"/>
          <w:kern w:val="0"/>
          <w:sz w:val="24"/>
        </w:rPr>
      </w:pPr>
      <w:r>
        <w:rPr>
          <w:rFonts w:hint="eastAsia" w:ascii="楷体" w:hAnsi="楷体" w:eastAsia="楷体" w:cs="楷体"/>
          <w:sz w:val="24"/>
        </w:rPr>
        <w:t>投标保证金退还方式：未中标人的投标保证金现场退还，中标人的投标保证金在签订合同并交纳招标代理服务费后，凭合同原件及交费凭证至招标代理机构财务部退还。</w:t>
      </w:r>
    </w:p>
    <w:p>
      <w:pPr>
        <w:spacing w:line="440" w:lineRule="exact"/>
        <w:ind w:firstLine="480" w:firstLineChars="200"/>
        <w:outlineLvl w:val="1"/>
        <w:rPr>
          <w:rFonts w:ascii="楷体" w:hAnsi="楷体" w:eastAsia="楷体" w:cs="楷体"/>
          <w:b/>
          <w:bCs/>
          <w:sz w:val="24"/>
        </w:rPr>
      </w:pPr>
      <w:r>
        <w:rPr>
          <w:rFonts w:hint="eastAsia" w:ascii="楷体" w:hAnsi="楷体" w:eastAsia="楷体" w:cs="楷体"/>
          <w:b/>
          <w:bCs/>
          <w:sz w:val="24"/>
        </w:rPr>
        <w:t>十二、疫情防控期间投标人注意事项</w:t>
      </w:r>
    </w:p>
    <w:p>
      <w:pPr>
        <w:spacing w:line="440" w:lineRule="exact"/>
        <w:ind w:firstLine="480" w:firstLineChars="200"/>
        <w:outlineLvl w:val="1"/>
        <w:rPr>
          <w:rFonts w:ascii="楷体" w:hAnsi="楷体" w:eastAsia="楷体" w:cs="楷体"/>
          <w:sz w:val="24"/>
        </w:rPr>
      </w:pPr>
      <w:r>
        <w:rPr>
          <w:rFonts w:hint="eastAsia" w:ascii="楷体" w:hAnsi="楷体" w:eastAsia="楷体" w:cs="楷体"/>
          <w:sz w:val="24"/>
        </w:rPr>
        <w:t>因疫情防控需要，为确保校园安全，投标人进入盐城工业职业技术学院校区时应服从下列疫情防控措施：</w:t>
      </w:r>
    </w:p>
    <w:p>
      <w:pPr>
        <w:spacing w:line="440" w:lineRule="exact"/>
        <w:ind w:firstLine="480" w:firstLineChars="200"/>
        <w:outlineLvl w:val="1"/>
        <w:rPr>
          <w:rFonts w:ascii="楷体" w:hAnsi="楷体" w:eastAsia="楷体" w:cs="楷体"/>
          <w:sz w:val="24"/>
        </w:rPr>
      </w:pPr>
      <w:r>
        <w:rPr>
          <w:rFonts w:hint="eastAsia" w:ascii="楷体" w:hAnsi="楷体" w:eastAsia="楷体" w:cs="楷体"/>
          <w:sz w:val="24"/>
        </w:rPr>
        <w:t>（1）投标人从解放南路东门进出；投标人车辆一律不得进入校园。</w:t>
      </w:r>
    </w:p>
    <w:p>
      <w:pPr>
        <w:spacing w:line="440" w:lineRule="exact"/>
        <w:ind w:firstLine="480" w:firstLineChars="200"/>
        <w:outlineLvl w:val="1"/>
        <w:rPr>
          <w:rFonts w:ascii="楷体" w:hAnsi="楷体" w:eastAsia="楷体" w:cs="楷体"/>
          <w:sz w:val="24"/>
        </w:rPr>
      </w:pPr>
      <w:r>
        <w:rPr>
          <w:rFonts w:hint="eastAsia" w:ascii="楷体" w:hAnsi="楷体" w:eastAsia="楷体" w:cs="楷体"/>
          <w:sz w:val="24"/>
        </w:rPr>
        <w:t>（2）各投标人项目授权代表限1人进入校园；项目授权代表进入校园时须自行配戴口罩、做好手部消毒及投标文件等消毒防护工作。</w:t>
      </w:r>
    </w:p>
    <w:p>
      <w:pPr>
        <w:spacing w:line="440" w:lineRule="exact"/>
        <w:ind w:firstLine="480" w:firstLineChars="200"/>
        <w:outlineLvl w:val="1"/>
        <w:rPr>
          <w:rFonts w:ascii="楷体" w:hAnsi="楷体" w:eastAsia="楷体" w:cs="楷体"/>
          <w:sz w:val="24"/>
        </w:rPr>
      </w:pPr>
      <w:r>
        <w:rPr>
          <w:rFonts w:hint="eastAsia" w:ascii="楷体" w:hAnsi="楷体" w:eastAsia="楷体" w:cs="楷体"/>
          <w:sz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440" w:lineRule="exact"/>
        <w:ind w:firstLine="480" w:firstLineChars="200"/>
        <w:outlineLvl w:val="1"/>
        <w:rPr>
          <w:rFonts w:ascii="楷体" w:hAnsi="楷体" w:eastAsia="楷体" w:cs="楷体"/>
          <w:sz w:val="24"/>
        </w:rPr>
      </w:pPr>
      <w:r>
        <w:rPr>
          <w:rFonts w:hint="eastAsia" w:ascii="楷体" w:hAnsi="楷体" w:eastAsia="楷体" w:cs="楷体"/>
          <w:sz w:val="24"/>
        </w:rPr>
        <w:t>（4）投标人进入校园后应在指定地点参与投标活动，不到非相关场所活动；投标工作结束后应立即离开校园，不逗留。</w:t>
      </w:r>
    </w:p>
    <w:p>
      <w:pPr>
        <w:spacing w:line="440" w:lineRule="exact"/>
        <w:ind w:firstLine="480" w:firstLineChars="200"/>
        <w:outlineLvl w:val="1"/>
        <w:rPr>
          <w:rFonts w:ascii="楷体" w:hAnsi="楷体" w:eastAsia="楷体" w:cs="楷体"/>
          <w:sz w:val="24"/>
        </w:rPr>
      </w:pPr>
      <w:r>
        <w:rPr>
          <w:rFonts w:hint="eastAsia" w:ascii="楷体" w:hAnsi="楷体" w:eastAsia="楷体" w:cs="楷体"/>
          <w:sz w:val="24"/>
        </w:rPr>
        <w:t>请各投标人预留好相应时间，配合做好上述管控措施。</w:t>
      </w:r>
    </w:p>
    <w:p>
      <w:pPr>
        <w:tabs>
          <w:tab w:val="left" w:pos="900"/>
        </w:tabs>
        <w:spacing w:line="440" w:lineRule="exact"/>
        <w:ind w:firstLine="480" w:firstLineChars="200"/>
        <w:jc w:val="right"/>
        <w:rPr>
          <w:rFonts w:ascii="楷体" w:hAnsi="楷体" w:eastAsia="楷体" w:cs="楷体"/>
          <w:sz w:val="24"/>
        </w:rPr>
      </w:pPr>
    </w:p>
    <w:p>
      <w:pPr>
        <w:tabs>
          <w:tab w:val="left" w:pos="900"/>
        </w:tabs>
        <w:spacing w:line="440" w:lineRule="exact"/>
        <w:ind w:firstLine="480" w:firstLineChars="200"/>
        <w:jc w:val="right"/>
        <w:rPr>
          <w:rFonts w:ascii="楷体" w:hAnsi="楷体" w:eastAsia="楷体" w:cs="楷体"/>
          <w:sz w:val="24"/>
        </w:rPr>
      </w:pPr>
      <w:r>
        <w:rPr>
          <w:rFonts w:hint="eastAsia" w:ascii="楷体" w:hAnsi="楷体" w:eastAsia="楷体" w:cs="楷体"/>
          <w:sz w:val="24"/>
        </w:rPr>
        <w:t>盐城工业职业技术学院</w:t>
      </w:r>
    </w:p>
    <w:p>
      <w:pPr>
        <w:tabs>
          <w:tab w:val="left" w:pos="900"/>
        </w:tabs>
        <w:spacing w:line="440" w:lineRule="exact"/>
        <w:ind w:firstLine="480" w:firstLineChars="200"/>
        <w:jc w:val="right"/>
        <w:rPr>
          <w:rFonts w:ascii="楷体" w:hAnsi="楷体" w:eastAsia="楷体" w:cs="楷体"/>
          <w:sz w:val="24"/>
        </w:rPr>
      </w:pPr>
      <w:r>
        <w:rPr>
          <w:rFonts w:hint="eastAsia" w:ascii="楷体" w:hAnsi="楷体" w:eastAsia="楷体" w:cs="楷体"/>
          <w:sz w:val="24"/>
        </w:rPr>
        <w:t>江苏双清工程造价咨询有限公司</w:t>
      </w:r>
    </w:p>
    <w:p>
      <w:pPr>
        <w:tabs>
          <w:tab w:val="left" w:pos="900"/>
        </w:tabs>
        <w:spacing w:line="440" w:lineRule="exact"/>
        <w:ind w:firstLine="480" w:firstLineChars="200"/>
        <w:jc w:val="right"/>
        <w:rPr>
          <w:rFonts w:ascii="楷体" w:hAnsi="楷体" w:eastAsia="楷体" w:cs="楷体"/>
          <w:sz w:val="24"/>
        </w:rPr>
      </w:pPr>
      <w:r>
        <w:rPr>
          <w:rFonts w:hint="eastAsia" w:ascii="楷体" w:hAnsi="楷体" w:eastAsia="楷体" w:cs="楷体"/>
          <w:sz w:val="24"/>
        </w:rPr>
        <w:t>2020年1</w:t>
      </w:r>
      <w:r>
        <w:rPr>
          <w:rFonts w:hint="eastAsia" w:ascii="楷体" w:hAnsi="楷体" w:eastAsia="楷体" w:cs="楷体"/>
          <w:sz w:val="24"/>
          <w:lang w:val="en-US" w:eastAsia="zh-CN"/>
        </w:rPr>
        <w:t>1</w:t>
      </w:r>
      <w:r>
        <w:rPr>
          <w:rFonts w:hint="eastAsia" w:ascii="楷体" w:hAnsi="楷体" w:eastAsia="楷体" w:cs="楷体"/>
          <w:sz w:val="24"/>
        </w:rPr>
        <w:t>月</w:t>
      </w:r>
      <w:r>
        <w:rPr>
          <w:rFonts w:hint="eastAsia" w:ascii="楷体" w:hAnsi="楷体" w:eastAsia="楷体" w:cs="楷体"/>
          <w:sz w:val="24"/>
          <w:lang w:val="en-US" w:eastAsia="zh-CN"/>
        </w:rPr>
        <w:t>12</w:t>
      </w:r>
      <w:r>
        <w:rPr>
          <w:rFonts w:hint="eastAsia" w:ascii="楷体" w:hAnsi="楷体" w:eastAsia="楷体" w:cs="楷体"/>
          <w:sz w:val="24"/>
        </w:rPr>
        <w:t>日</w:t>
      </w:r>
    </w:p>
    <w:p>
      <w:pPr>
        <w:widowControl/>
        <w:jc w:val="center"/>
        <w:rPr>
          <w:rFonts w:ascii="楷体" w:hAnsi="楷体" w:eastAsia="楷体" w:cs="楷体"/>
          <w:b/>
          <w:sz w:val="44"/>
          <w:szCs w:val="44"/>
        </w:rPr>
      </w:pPr>
      <w:r>
        <w:rPr>
          <w:rFonts w:ascii="楷体" w:hAnsi="楷体" w:eastAsia="楷体" w:cs="楷体"/>
          <w:b/>
          <w:sz w:val="44"/>
          <w:szCs w:val="44"/>
        </w:rPr>
        <w:br w:type="page"/>
      </w:r>
      <w:r>
        <w:rPr>
          <w:rFonts w:hint="eastAsia" w:ascii="楷体" w:hAnsi="楷体" w:eastAsia="楷体" w:cs="楷体"/>
          <w:b/>
          <w:sz w:val="44"/>
          <w:szCs w:val="44"/>
        </w:rPr>
        <w:t>投标人参与投标确认函</w:t>
      </w:r>
    </w:p>
    <w:p>
      <w:pPr>
        <w:jc w:val="left"/>
        <w:rPr>
          <w:rFonts w:ascii="楷体" w:hAnsi="楷体" w:eastAsia="楷体" w:cs="楷体"/>
          <w:sz w:val="32"/>
          <w:szCs w:val="32"/>
        </w:rPr>
      </w:pPr>
    </w:p>
    <w:p>
      <w:pPr>
        <w:jc w:val="left"/>
        <w:rPr>
          <w:rFonts w:ascii="楷体" w:hAnsi="楷体" w:eastAsia="楷体" w:cs="楷体"/>
          <w:sz w:val="32"/>
          <w:szCs w:val="32"/>
        </w:rPr>
      </w:pPr>
      <w:r>
        <w:rPr>
          <w:rFonts w:hint="eastAsia" w:ascii="楷体" w:hAnsi="楷体" w:eastAsia="楷体" w:cs="楷体"/>
          <w:sz w:val="32"/>
          <w:szCs w:val="32"/>
        </w:rPr>
        <w:t>盐城工业职业技术学院</w:t>
      </w:r>
    </w:p>
    <w:p>
      <w:pPr>
        <w:jc w:val="left"/>
        <w:rPr>
          <w:rFonts w:ascii="楷体" w:hAnsi="楷体" w:eastAsia="楷体" w:cs="楷体"/>
          <w:sz w:val="32"/>
          <w:szCs w:val="32"/>
        </w:rPr>
      </w:pPr>
      <w:r>
        <w:rPr>
          <w:rFonts w:hint="eastAsia" w:ascii="楷体" w:hAnsi="楷体" w:eastAsia="楷体" w:cs="楷体"/>
          <w:sz w:val="32"/>
          <w:szCs w:val="32"/>
        </w:rPr>
        <w:t>江苏双清工程造价咨询有限公司：</w:t>
      </w:r>
    </w:p>
    <w:p>
      <w:pPr>
        <w:rPr>
          <w:rFonts w:ascii="楷体" w:hAnsi="楷体" w:eastAsia="楷体" w:cs="楷体"/>
          <w:sz w:val="32"/>
          <w:szCs w:val="32"/>
        </w:rPr>
      </w:pPr>
      <w:r>
        <w:rPr>
          <w:rFonts w:hint="eastAsia" w:ascii="楷体" w:hAnsi="楷体" w:eastAsia="楷体" w:cs="楷体"/>
          <w:sz w:val="32"/>
          <w:szCs w:val="32"/>
        </w:rPr>
        <w:t>　　</w:t>
      </w:r>
    </w:p>
    <w:p>
      <w:pPr>
        <w:ind w:firstLine="640" w:firstLineChars="200"/>
        <w:rPr>
          <w:rFonts w:ascii="楷体" w:hAnsi="楷体" w:eastAsia="楷体" w:cs="楷体"/>
          <w:sz w:val="32"/>
          <w:szCs w:val="32"/>
        </w:rPr>
      </w:pPr>
      <w:r>
        <w:rPr>
          <w:rFonts w:hint="eastAsia" w:ascii="楷体" w:hAnsi="楷体" w:eastAsia="楷体" w:cs="楷体"/>
          <w:sz w:val="32"/>
          <w:szCs w:val="32"/>
        </w:rPr>
        <w:t>根据网站上查询到的招标公告，本单位将参与</w:t>
      </w:r>
      <w:r>
        <w:rPr>
          <w:rFonts w:hint="eastAsia" w:ascii="楷体" w:hAnsi="楷体" w:eastAsia="楷体" w:cs="楷体"/>
          <w:sz w:val="32"/>
          <w:szCs w:val="32"/>
          <w:u w:val="single"/>
          <w:lang w:eastAsia="zh-CN"/>
        </w:rPr>
        <w:t>2020-061S</w:t>
      </w:r>
      <w:r>
        <w:rPr>
          <w:rFonts w:hint="eastAsia" w:ascii="楷体" w:hAnsi="楷体" w:eastAsia="楷体" w:cs="楷体"/>
          <w:sz w:val="32"/>
          <w:szCs w:val="32"/>
        </w:rPr>
        <w:t>编号</w:t>
      </w:r>
      <w:r>
        <w:rPr>
          <w:rFonts w:hint="eastAsia" w:ascii="楷体" w:hAnsi="楷体" w:eastAsia="楷体" w:cs="楷体"/>
          <w:sz w:val="32"/>
          <w:szCs w:val="32"/>
          <w:u w:val="single"/>
          <w:lang w:eastAsia="zh-CN"/>
        </w:rPr>
        <w:t>盐城工业职业技术学院经贸管理学院会计实训室改造项目</w:t>
      </w:r>
      <w:r>
        <w:rPr>
          <w:rFonts w:hint="eastAsia" w:ascii="楷体" w:hAnsi="楷体" w:eastAsia="楷体" w:cs="楷体"/>
          <w:sz w:val="32"/>
          <w:szCs w:val="32"/>
          <w:u w:val="single"/>
        </w:rPr>
        <w:t>项目</w:t>
      </w:r>
      <w:r>
        <w:rPr>
          <w:rFonts w:hint="eastAsia" w:ascii="楷体" w:hAnsi="楷体" w:eastAsia="楷体" w:cs="楷体"/>
          <w:sz w:val="32"/>
          <w:szCs w:val="32"/>
        </w:rPr>
        <w:t>的投标，特发函确认并到招标代理机构购买招标文件。</w:t>
      </w:r>
    </w:p>
    <w:p>
      <w:pPr>
        <w:rPr>
          <w:rFonts w:ascii="楷体" w:hAnsi="楷体" w:eastAsia="楷体" w:cs="楷体"/>
          <w:sz w:val="32"/>
          <w:szCs w:val="32"/>
          <w:u w:val="single"/>
        </w:rPr>
      </w:pPr>
      <w:r>
        <w:rPr>
          <w:rFonts w:hint="eastAsia" w:ascii="楷体" w:hAnsi="楷体" w:eastAsia="楷体" w:cs="楷体"/>
          <w:sz w:val="32"/>
          <w:szCs w:val="32"/>
        </w:rPr>
        <w:t>　　单位名称：</w:t>
      </w:r>
      <w:r>
        <w:rPr>
          <w:rFonts w:hint="eastAsia" w:ascii="楷体" w:hAnsi="楷体" w:eastAsia="楷体" w:cs="楷体"/>
          <w:sz w:val="32"/>
          <w:szCs w:val="32"/>
          <w:u w:val="single"/>
        </w:rPr>
        <w:t xml:space="preserve">              </w:t>
      </w:r>
    </w:p>
    <w:p>
      <w:pPr>
        <w:rPr>
          <w:rFonts w:ascii="楷体" w:hAnsi="楷体" w:eastAsia="楷体" w:cs="楷体"/>
          <w:sz w:val="32"/>
          <w:szCs w:val="32"/>
        </w:rPr>
      </w:pPr>
      <w:r>
        <w:rPr>
          <w:rFonts w:hint="eastAsia" w:ascii="楷体" w:hAnsi="楷体" w:eastAsia="楷体" w:cs="楷体"/>
          <w:sz w:val="32"/>
          <w:szCs w:val="32"/>
        </w:rPr>
        <w:t>　　项目负责人：</w:t>
      </w:r>
      <w:r>
        <w:rPr>
          <w:rFonts w:hint="eastAsia" w:ascii="楷体" w:hAnsi="楷体" w:eastAsia="楷体" w:cs="楷体"/>
          <w:sz w:val="32"/>
          <w:szCs w:val="32"/>
          <w:u w:val="single"/>
        </w:rPr>
        <w:t xml:space="preserve">            </w:t>
      </w:r>
    </w:p>
    <w:p>
      <w:pPr>
        <w:ind w:firstLine="640" w:firstLineChars="200"/>
        <w:rPr>
          <w:rFonts w:ascii="楷体" w:hAnsi="楷体" w:eastAsia="楷体" w:cs="楷体"/>
          <w:sz w:val="32"/>
          <w:szCs w:val="32"/>
        </w:rPr>
      </w:pPr>
      <w:r>
        <w:rPr>
          <w:rFonts w:hint="eastAsia" w:ascii="楷体" w:hAnsi="楷体" w:eastAsia="楷体" w:cs="楷体"/>
          <w:sz w:val="32"/>
          <w:szCs w:val="32"/>
        </w:rPr>
        <w:t>联系电话：</w:t>
      </w:r>
      <w:r>
        <w:rPr>
          <w:rFonts w:hint="eastAsia" w:ascii="楷体" w:hAnsi="楷体" w:eastAsia="楷体" w:cs="楷体"/>
          <w:sz w:val="32"/>
          <w:szCs w:val="32"/>
          <w:u w:val="single"/>
        </w:rPr>
        <w:t xml:space="preserve">              </w:t>
      </w:r>
    </w:p>
    <w:p>
      <w:pPr>
        <w:rPr>
          <w:rFonts w:ascii="楷体" w:hAnsi="楷体" w:eastAsia="楷体" w:cs="楷体"/>
          <w:sz w:val="32"/>
          <w:szCs w:val="32"/>
        </w:rPr>
      </w:pPr>
      <w:r>
        <w:rPr>
          <w:rFonts w:hint="eastAsia" w:ascii="楷体" w:hAnsi="楷体" w:eastAsia="楷体" w:cs="楷体"/>
          <w:sz w:val="32"/>
          <w:szCs w:val="32"/>
        </w:rPr>
        <w:t>　　法人授权代表（投标代表）：＿＿＿＿＿</w:t>
      </w:r>
    </w:p>
    <w:p>
      <w:pPr>
        <w:ind w:firstLine="645"/>
        <w:rPr>
          <w:rFonts w:ascii="楷体" w:hAnsi="楷体" w:eastAsia="楷体" w:cs="楷体"/>
          <w:sz w:val="32"/>
          <w:szCs w:val="32"/>
        </w:rPr>
      </w:pPr>
      <w:r>
        <w:rPr>
          <w:rFonts w:hint="eastAsia" w:ascii="楷体" w:hAnsi="楷体" w:eastAsia="楷体" w:cs="楷体"/>
          <w:sz w:val="32"/>
          <w:szCs w:val="32"/>
        </w:rPr>
        <w:t>联系电话：</w:t>
      </w:r>
      <w:r>
        <w:rPr>
          <w:rFonts w:hint="eastAsia" w:ascii="楷体" w:hAnsi="楷体" w:eastAsia="楷体" w:cs="楷体"/>
          <w:sz w:val="32"/>
          <w:szCs w:val="32"/>
          <w:u w:val="single"/>
        </w:rPr>
        <w:t xml:space="preserve">              </w:t>
      </w:r>
      <w:r>
        <w:rPr>
          <w:rFonts w:hint="eastAsia" w:ascii="楷体" w:hAnsi="楷体" w:eastAsia="楷体" w:cs="楷体"/>
          <w:sz w:val="32"/>
          <w:szCs w:val="32"/>
        </w:rPr>
        <w:t xml:space="preserve">                  </w:t>
      </w:r>
    </w:p>
    <w:p>
      <w:pPr>
        <w:ind w:firstLine="645"/>
        <w:rPr>
          <w:rFonts w:ascii="楷体" w:hAnsi="楷体" w:eastAsia="楷体" w:cs="楷体"/>
          <w:sz w:val="32"/>
          <w:szCs w:val="32"/>
        </w:rPr>
      </w:pPr>
      <w:r>
        <w:rPr>
          <w:rFonts w:hint="eastAsia" w:ascii="楷体" w:hAnsi="楷体" w:eastAsia="楷体" w:cs="楷体"/>
          <w:sz w:val="32"/>
          <w:szCs w:val="32"/>
        </w:rPr>
        <w:t>传真：</w:t>
      </w:r>
      <w:r>
        <w:rPr>
          <w:rFonts w:hint="eastAsia" w:ascii="楷体" w:hAnsi="楷体" w:eastAsia="楷体" w:cs="楷体"/>
          <w:sz w:val="32"/>
          <w:szCs w:val="32"/>
          <w:u w:val="single"/>
        </w:rPr>
        <w:t xml:space="preserve">                  </w:t>
      </w:r>
    </w:p>
    <w:p>
      <w:pPr>
        <w:ind w:firstLine="645"/>
        <w:rPr>
          <w:rFonts w:ascii="楷体" w:hAnsi="楷体" w:eastAsia="楷体" w:cs="楷体"/>
          <w:sz w:val="32"/>
          <w:szCs w:val="32"/>
        </w:rPr>
      </w:pPr>
      <w:r>
        <w:rPr>
          <w:rFonts w:hint="eastAsia" w:ascii="楷体" w:hAnsi="楷体" w:eastAsia="楷体" w:cs="楷体"/>
          <w:sz w:val="32"/>
          <w:szCs w:val="32"/>
        </w:rPr>
        <w:t>邮箱：</w:t>
      </w:r>
      <w:r>
        <w:rPr>
          <w:rFonts w:hint="eastAsia" w:ascii="楷体" w:hAnsi="楷体" w:eastAsia="楷体" w:cs="楷体"/>
          <w:sz w:val="32"/>
          <w:szCs w:val="32"/>
          <w:u w:val="single"/>
        </w:rPr>
        <w:t xml:space="preserve">                  </w:t>
      </w:r>
    </w:p>
    <w:p>
      <w:pPr>
        <w:ind w:left="4160" w:hanging="4160" w:hangingChars="1300"/>
        <w:rPr>
          <w:rFonts w:ascii="楷体" w:hAnsi="楷体" w:eastAsia="楷体" w:cs="楷体"/>
          <w:sz w:val="32"/>
          <w:szCs w:val="32"/>
        </w:rPr>
      </w:pPr>
      <w:r>
        <w:rPr>
          <w:rFonts w:hint="eastAsia" w:ascii="楷体" w:hAnsi="楷体" w:eastAsia="楷体" w:cs="楷体"/>
          <w:sz w:val="32"/>
          <w:szCs w:val="32"/>
        </w:rPr>
        <w:t>　　　　　　　　　　　　　　　　</w:t>
      </w:r>
    </w:p>
    <w:p>
      <w:pPr>
        <w:ind w:left="4160" w:hanging="4160" w:hangingChars="1300"/>
        <w:jc w:val="right"/>
        <w:rPr>
          <w:rFonts w:ascii="楷体" w:hAnsi="楷体" w:eastAsia="楷体" w:cs="楷体"/>
          <w:sz w:val="32"/>
          <w:szCs w:val="32"/>
        </w:rPr>
      </w:pPr>
      <w:r>
        <w:rPr>
          <w:rFonts w:hint="eastAsia" w:ascii="楷体" w:hAnsi="楷体" w:eastAsia="楷体" w:cs="楷体"/>
          <w:sz w:val="32"/>
          <w:szCs w:val="32"/>
        </w:rPr>
        <w:t>＿＿＿＿＿＿（单位公章）</w:t>
      </w:r>
    </w:p>
    <w:p>
      <w:pPr>
        <w:ind w:left="5280" w:hanging="5280" w:hangingChars="1650"/>
        <w:rPr>
          <w:rFonts w:ascii="楷体" w:hAnsi="楷体" w:eastAsia="楷体" w:cs="楷体"/>
          <w:sz w:val="32"/>
          <w:szCs w:val="32"/>
        </w:rPr>
      </w:pPr>
      <w:r>
        <w:rPr>
          <w:rFonts w:hint="eastAsia" w:ascii="楷体" w:hAnsi="楷体" w:eastAsia="楷体" w:cs="楷体"/>
          <w:sz w:val="32"/>
          <w:szCs w:val="32"/>
        </w:rPr>
        <w:t>　　　　　　　　　　　　　　　　　　　　　　　　　　　　　</w:t>
      </w:r>
      <w:r>
        <w:rPr>
          <w:rFonts w:hint="eastAsia" w:ascii="楷体" w:hAnsi="楷体" w:eastAsia="楷体" w:cs="楷体"/>
          <w:sz w:val="32"/>
          <w:szCs w:val="32"/>
          <w:u w:val="single"/>
        </w:rPr>
        <w:t>2020年  月　日</w:t>
      </w:r>
    </w:p>
    <w:p>
      <w:pPr>
        <w:ind w:left="5280" w:hanging="5280" w:hangingChars="1650"/>
        <w:rPr>
          <w:rFonts w:ascii="楷体" w:hAnsi="楷体" w:eastAsia="楷体" w:cs="楷体"/>
          <w:sz w:val="32"/>
          <w:szCs w:val="32"/>
        </w:rPr>
      </w:pPr>
    </w:p>
    <w:p>
      <w:pPr>
        <w:spacing w:line="500" w:lineRule="exact"/>
        <w:rPr>
          <w:rFonts w:ascii="楷体" w:hAnsi="楷体" w:eastAsia="楷体" w:cs="楷体"/>
          <w:b/>
          <w:sz w:val="24"/>
        </w:rPr>
      </w:pPr>
    </w:p>
    <w:p>
      <w:pPr>
        <w:spacing w:line="500" w:lineRule="exact"/>
        <w:rPr>
          <w:rFonts w:ascii="楷体" w:hAnsi="楷体" w:eastAsia="楷体" w:cs="楷体"/>
          <w:b/>
          <w:sz w:val="24"/>
        </w:rPr>
      </w:pPr>
    </w:p>
    <w:p>
      <w:pPr>
        <w:pStyle w:val="2"/>
        <w:ind w:left="0" w:leftChars="0" w:firstLine="0" w:firstLineChars="0"/>
        <w:rPr>
          <w:rFonts w:ascii="楷体" w:hAnsi="楷体" w:eastAsia="楷体" w:cs="楷体"/>
        </w:rPr>
      </w:pPr>
    </w:p>
    <w:p>
      <w:pPr>
        <w:spacing w:line="500" w:lineRule="exact"/>
        <w:rPr>
          <w:rFonts w:ascii="楷体" w:hAnsi="楷体" w:eastAsia="楷体" w:cs="楷体"/>
          <w:b/>
          <w:sz w:val="28"/>
          <w:szCs w:val="28"/>
        </w:rPr>
      </w:pPr>
    </w:p>
    <w:p>
      <w:pPr>
        <w:pStyle w:val="2"/>
        <w:ind w:firstLine="422"/>
      </w:pPr>
    </w:p>
    <w:p>
      <w:pPr>
        <w:spacing w:line="360" w:lineRule="auto"/>
        <w:jc w:val="center"/>
        <w:rPr>
          <w:rFonts w:hint="eastAsia" w:ascii="楷体" w:hAnsi="楷体" w:eastAsia="楷体" w:cs="楷体"/>
          <w:b/>
          <w:sz w:val="44"/>
          <w:szCs w:val="44"/>
          <w:lang w:eastAsia="zh-CN"/>
        </w:rPr>
      </w:pPr>
      <w:r>
        <w:rPr>
          <w:rFonts w:hint="eastAsia" w:ascii="楷体" w:hAnsi="楷体" w:eastAsia="楷体" w:cs="楷体"/>
          <w:b/>
          <w:sz w:val="44"/>
          <w:szCs w:val="44"/>
          <w:lang w:eastAsia="zh-CN"/>
        </w:rPr>
        <w:t>盐城工业职业技术学院经贸管理学院会计实训室改造项目</w:t>
      </w:r>
    </w:p>
    <w:p>
      <w:pPr>
        <w:spacing w:line="480" w:lineRule="auto"/>
        <w:rPr>
          <w:rFonts w:ascii="楷体" w:hAnsi="楷体" w:eastAsia="楷体" w:cs="楷体"/>
          <w:sz w:val="24"/>
        </w:rPr>
      </w:pPr>
    </w:p>
    <w:p>
      <w:pPr>
        <w:spacing w:line="480" w:lineRule="auto"/>
        <w:rPr>
          <w:rFonts w:ascii="楷体" w:hAnsi="楷体" w:eastAsia="楷体" w:cs="楷体"/>
          <w:sz w:val="24"/>
        </w:rPr>
      </w:pPr>
    </w:p>
    <w:p>
      <w:pPr>
        <w:spacing w:line="480" w:lineRule="auto"/>
        <w:jc w:val="center"/>
        <w:rPr>
          <w:rFonts w:ascii="楷体" w:hAnsi="楷体" w:eastAsia="楷体" w:cs="楷体"/>
          <w:b/>
          <w:sz w:val="84"/>
          <w:szCs w:val="84"/>
        </w:rPr>
      </w:pPr>
      <w:r>
        <w:rPr>
          <w:rFonts w:hint="eastAsia" w:ascii="楷体" w:hAnsi="楷体" w:eastAsia="楷体" w:cs="楷体"/>
          <w:b/>
          <w:sz w:val="84"/>
          <w:szCs w:val="84"/>
        </w:rPr>
        <w:t>招 标 文 件</w:t>
      </w:r>
    </w:p>
    <w:p>
      <w:pPr>
        <w:jc w:val="center"/>
        <w:rPr>
          <w:rFonts w:ascii="楷体" w:hAnsi="楷体" w:eastAsia="楷体" w:cs="楷体"/>
          <w:b/>
          <w:sz w:val="72"/>
          <w:szCs w:val="72"/>
        </w:rPr>
      </w:pPr>
    </w:p>
    <w:p>
      <w:pPr>
        <w:jc w:val="center"/>
        <w:rPr>
          <w:rFonts w:hint="eastAsia" w:ascii="楷体" w:hAnsi="楷体" w:eastAsia="楷体" w:cs="楷体"/>
          <w:b/>
          <w:sz w:val="30"/>
          <w:szCs w:val="30"/>
          <w:lang w:eastAsia="zh-CN"/>
        </w:rPr>
      </w:pPr>
      <w:r>
        <w:rPr>
          <w:rFonts w:hint="eastAsia" w:ascii="楷体" w:hAnsi="楷体" w:eastAsia="楷体" w:cs="楷体"/>
          <w:b/>
          <w:sz w:val="30"/>
          <w:szCs w:val="30"/>
        </w:rPr>
        <w:t>项目编号：</w:t>
      </w:r>
      <w:r>
        <w:rPr>
          <w:rFonts w:hint="eastAsia" w:ascii="楷体" w:hAnsi="楷体" w:eastAsia="楷体" w:cs="楷体"/>
          <w:b/>
          <w:sz w:val="30"/>
          <w:szCs w:val="30"/>
          <w:lang w:eastAsia="zh-CN"/>
        </w:rPr>
        <w:t>2020-061S</w:t>
      </w: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spacing w:line="500" w:lineRule="exact"/>
        <w:rPr>
          <w:rFonts w:ascii="楷体" w:hAnsi="楷体" w:eastAsia="楷体" w:cs="楷体"/>
        </w:rPr>
      </w:pPr>
    </w:p>
    <w:p>
      <w:pPr>
        <w:jc w:val="center"/>
        <w:rPr>
          <w:rFonts w:ascii="楷体" w:hAnsi="楷体" w:eastAsia="楷体" w:cs="楷体"/>
          <w:bCs/>
          <w:sz w:val="36"/>
          <w:szCs w:val="36"/>
        </w:rPr>
      </w:pPr>
      <w:r>
        <w:rPr>
          <w:rFonts w:hint="eastAsia" w:ascii="楷体" w:hAnsi="楷体" w:eastAsia="楷体" w:cs="楷体"/>
          <w:bCs/>
          <w:sz w:val="36"/>
          <w:szCs w:val="36"/>
        </w:rPr>
        <w:t>盐城工业职业技术学院</w:t>
      </w:r>
    </w:p>
    <w:p>
      <w:pPr>
        <w:jc w:val="center"/>
        <w:rPr>
          <w:rFonts w:ascii="楷体" w:hAnsi="楷体" w:eastAsia="楷体" w:cs="楷体"/>
          <w:sz w:val="36"/>
          <w:szCs w:val="36"/>
        </w:rPr>
      </w:pPr>
      <w:r>
        <w:rPr>
          <w:rFonts w:hint="eastAsia" w:ascii="楷体" w:hAnsi="楷体" w:eastAsia="楷体" w:cs="楷体"/>
          <w:sz w:val="36"/>
          <w:szCs w:val="36"/>
        </w:rPr>
        <w:t>江苏双清工程造价咨询有限公司</w:t>
      </w:r>
    </w:p>
    <w:p>
      <w:pPr>
        <w:jc w:val="center"/>
        <w:rPr>
          <w:rFonts w:ascii="楷体" w:hAnsi="楷体" w:eastAsia="楷体" w:cs="楷体"/>
          <w:sz w:val="36"/>
          <w:szCs w:val="36"/>
        </w:rPr>
      </w:pPr>
      <w:r>
        <w:rPr>
          <w:rFonts w:hint="eastAsia" w:ascii="楷体" w:hAnsi="楷体" w:eastAsia="楷体" w:cs="楷体"/>
          <w:sz w:val="36"/>
          <w:szCs w:val="36"/>
        </w:rPr>
        <w:t>2020年1</w:t>
      </w:r>
      <w:r>
        <w:rPr>
          <w:rFonts w:hint="eastAsia" w:ascii="楷体" w:hAnsi="楷体" w:eastAsia="楷体" w:cs="楷体"/>
          <w:sz w:val="36"/>
          <w:szCs w:val="36"/>
          <w:lang w:val="en-US" w:eastAsia="zh-CN"/>
        </w:rPr>
        <w:t>1</w:t>
      </w:r>
      <w:r>
        <w:rPr>
          <w:rFonts w:hint="eastAsia" w:ascii="楷体" w:hAnsi="楷体" w:eastAsia="楷体" w:cs="楷体"/>
          <w:sz w:val="36"/>
          <w:szCs w:val="36"/>
        </w:rPr>
        <w:t>月</w:t>
      </w:r>
      <w:r>
        <w:rPr>
          <w:rFonts w:hint="eastAsia" w:ascii="楷体" w:hAnsi="楷体" w:eastAsia="楷体" w:cs="楷体"/>
          <w:sz w:val="36"/>
          <w:szCs w:val="36"/>
          <w:lang w:val="en-US" w:eastAsia="zh-CN"/>
        </w:rPr>
        <w:t>12</w:t>
      </w:r>
      <w:r>
        <w:rPr>
          <w:rFonts w:hint="eastAsia" w:ascii="楷体" w:hAnsi="楷体" w:eastAsia="楷体" w:cs="楷体"/>
          <w:sz w:val="36"/>
          <w:szCs w:val="36"/>
        </w:rPr>
        <w:t>日</w:t>
      </w:r>
    </w:p>
    <w:p>
      <w:pPr>
        <w:spacing w:line="400" w:lineRule="exact"/>
        <w:rPr>
          <w:rFonts w:ascii="楷体" w:hAnsi="楷体" w:eastAsia="楷体" w:cs="楷体"/>
          <w:sz w:val="24"/>
        </w:rPr>
      </w:pPr>
    </w:p>
    <w:p>
      <w:pPr>
        <w:jc w:val="center"/>
        <w:rPr>
          <w:rFonts w:ascii="楷体" w:hAnsi="楷体" w:eastAsia="楷体" w:cs="楷体"/>
          <w:b/>
          <w:bCs/>
          <w:sz w:val="44"/>
        </w:rPr>
      </w:pPr>
      <w:r>
        <w:rPr>
          <w:rFonts w:hint="eastAsia" w:ascii="楷体" w:hAnsi="楷体" w:eastAsia="楷体" w:cs="楷体"/>
          <w:sz w:val="24"/>
        </w:rPr>
        <w:br w:type="page"/>
      </w:r>
      <w:r>
        <w:rPr>
          <w:rFonts w:hint="eastAsia" w:ascii="楷体" w:hAnsi="楷体" w:eastAsia="楷体" w:cs="楷体"/>
          <w:b/>
          <w:sz w:val="44"/>
          <w:szCs w:val="44"/>
        </w:rPr>
        <w:t>第一部分  投标须知</w:t>
      </w:r>
    </w:p>
    <w:p>
      <w:pPr>
        <w:spacing w:line="500" w:lineRule="exact"/>
        <w:jc w:val="center"/>
        <w:rPr>
          <w:rFonts w:ascii="楷体" w:hAnsi="楷体" w:eastAsia="楷体" w:cs="楷体"/>
          <w:b/>
          <w:sz w:val="28"/>
          <w:szCs w:val="28"/>
        </w:rPr>
      </w:pPr>
      <w:r>
        <w:rPr>
          <w:rFonts w:hint="eastAsia" w:ascii="楷体" w:hAnsi="楷体" w:eastAsia="楷体" w:cs="楷体"/>
          <w:b/>
          <w:sz w:val="28"/>
          <w:szCs w:val="28"/>
        </w:rPr>
        <w:t>前 附 表</w:t>
      </w:r>
    </w:p>
    <w:tbl>
      <w:tblPr>
        <w:tblStyle w:val="18"/>
        <w:tblW w:w="92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94" w:hRule="atLeast"/>
          <w:jc w:val="center"/>
        </w:trPr>
        <w:tc>
          <w:tcPr>
            <w:tcW w:w="615" w:type="dxa"/>
            <w:tcBorders>
              <w:top w:val="single" w:color="auto" w:sz="8"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kern w:val="2"/>
                <w:sz w:val="24"/>
              </w:rPr>
            </w:pPr>
            <w:r>
              <w:rPr>
                <w:rFonts w:hint="eastAsia" w:ascii="楷体" w:hAnsi="楷体" w:eastAsia="楷体" w:cs="楷体"/>
                <w:kern w:val="2"/>
                <w:sz w:val="24"/>
              </w:rPr>
              <w:t>序号</w:t>
            </w:r>
          </w:p>
        </w:tc>
        <w:tc>
          <w:tcPr>
            <w:tcW w:w="8666" w:type="dxa"/>
            <w:tcBorders>
              <w:top w:val="single" w:color="auto" w:sz="8" w:space="0"/>
              <w:left w:val="single" w:color="auto" w:sz="4" w:space="0"/>
              <w:bottom w:val="single" w:color="auto" w:sz="4" w:space="0"/>
              <w:right w:val="single" w:color="auto" w:sz="8" w:space="0"/>
            </w:tcBorders>
            <w:vAlign w:val="center"/>
          </w:tcPr>
          <w:p>
            <w:pPr>
              <w:pStyle w:val="9"/>
              <w:adjustRightInd w:val="0"/>
              <w:snapToGrid w:val="0"/>
              <w:spacing w:line="320" w:lineRule="exact"/>
              <w:jc w:val="center"/>
              <w:rPr>
                <w:rFonts w:ascii="楷体" w:hAnsi="楷体" w:eastAsia="楷体" w:cs="楷体"/>
                <w:kern w:val="2"/>
                <w:sz w:val="24"/>
              </w:rPr>
            </w:pPr>
            <w:r>
              <w:rPr>
                <w:rFonts w:hint="eastAsia" w:ascii="楷体" w:hAnsi="楷体" w:eastAsia="楷体" w:cs="楷体"/>
                <w:kern w:val="2"/>
                <w:sz w:val="24"/>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kern w:val="2"/>
                <w:sz w:val="24"/>
              </w:rPr>
            </w:pPr>
            <w:r>
              <w:rPr>
                <w:rFonts w:hint="eastAsia" w:ascii="楷体" w:hAnsi="楷体" w:eastAsia="楷体" w:cs="楷体"/>
                <w:kern w:val="2"/>
                <w:sz w:val="24"/>
              </w:rPr>
              <w:t>1</w:t>
            </w:r>
          </w:p>
        </w:tc>
        <w:tc>
          <w:tcPr>
            <w:tcW w:w="8666" w:type="dxa"/>
            <w:tcBorders>
              <w:top w:val="single" w:color="auto" w:sz="4" w:space="0"/>
              <w:left w:val="single" w:color="auto" w:sz="4" w:space="0"/>
              <w:bottom w:val="single" w:color="auto" w:sz="4" w:space="0"/>
              <w:right w:val="single" w:color="auto" w:sz="8" w:space="0"/>
            </w:tcBorders>
            <w:vAlign w:val="center"/>
          </w:tcPr>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工程名称：</w:t>
            </w:r>
            <w:r>
              <w:rPr>
                <w:rFonts w:hint="eastAsia" w:ascii="楷体" w:hAnsi="楷体" w:eastAsia="楷体" w:cs="楷体"/>
                <w:kern w:val="2"/>
                <w:sz w:val="24"/>
                <w:lang w:eastAsia="zh-CN"/>
              </w:rPr>
              <w:t>盐城工业职业技术学院经贸管理学院会计实训室改造项目</w:t>
            </w:r>
            <w:r>
              <w:rPr>
                <w:rFonts w:hint="eastAsia" w:ascii="楷体" w:hAnsi="楷体" w:eastAsia="楷体" w:cs="楷体"/>
                <w:kern w:val="2"/>
                <w:sz w:val="24"/>
              </w:rPr>
              <w:t>　　　　　</w:t>
            </w:r>
          </w:p>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招标人名称：盐城工业职业技术学院</w:t>
            </w:r>
          </w:p>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招标范围及标段划分：本次招标共为1个标段，</w:t>
            </w:r>
            <w:r>
              <w:rPr>
                <w:rFonts w:hint="eastAsia" w:ascii="楷体" w:hAnsi="楷体" w:eastAsia="楷体" w:cs="楷体"/>
                <w:kern w:val="2"/>
                <w:sz w:val="24"/>
                <w:lang w:eastAsia="zh-CN"/>
              </w:rPr>
              <w:t>盐城工业职业技术学院经贸管理学院会计实训室改造项目</w:t>
            </w:r>
            <w:r>
              <w:rPr>
                <w:rFonts w:hint="eastAsia" w:ascii="楷体" w:hAnsi="楷体" w:eastAsia="楷体" w:cs="楷体"/>
                <w:kern w:val="2"/>
                <w:sz w:val="24"/>
              </w:rPr>
              <w:t>的施工，具体内容详按设计图纸、工程量清单及招标人要求执行，招标人保留进行调整的权利。</w:t>
            </w:r>
          </w:p>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质量标准：国家合格标准</w:t>
            </w:r>
          </w:p>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工期要求：自甲方通知开工之日起</w:t>
            </w:r>
            <w:r>
              <w:rPr>
                <w:rFonts w:hint="eastAsia" w:ascii="楷体" w:hAnsi="楷体" w:eastAsia="楷体" w:cs="楷体"/>
                <w:kern w:val="2"/>
                <w:sz w:val="24"/>
                <w:lang w:val="en-US" w:eastAsia="zh-CN"/>
              </w:rPr>
              <w:t>25</w:t>
            </w:r>
            <w:r>
              <w:rPr>
                <w:rFonts w:hint="eastAsia" w:ascii="楷体" w:hAnsi="楷体" w:eastAsia="楷体" w:cs="楷体"/>
                <w:kern w:val="2"/>
                <w:sz w:val="24"/>
              </w:rPr>
              <w:t>日历天内全部通过竣工验收合格并交付使用。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32"/>
              <w:adjustRightInd w:val="0"/>
              <w:snapToGrid w:val="0"/>
              <w:spacing w:line="320" w:lineRule="exact"/>
              <w:jc w:val="center"/>
              <w:rPr>
                <w:rFonts w:ascii="楷体" w:hAnsi="楷体" w:eastAsia="楷体" w:cs="楷体"/>
                <w:sz w:val="24"/>
              </w:rPr>
            </w:pPr>
            <w:r>
              <w:rPr>
                <w:rFonts w:hint="eastAsia" w:ascii="楷体" w:hAnsi="楷体" w:eastAsia="楷体" w:cs="楷体"/>
                <w:sz w:val="24"/>
              </w:rPr>
              <w:t>2</w:t>
            </w:r>
          </w:p>
        </w:tc>
        <w:tc>
          <w:tcPr>
            <w:tcW w:w="8666" w:type="dxa"/>
            <w:tcBorders>
              <w:top w:val="single" w:color="auto" w:sz="4" w:space="0"/>
              <w:left w:val="single" w:color="auto" w:sz="4" w:space="0"/>
              <w:bottom w:val="single" w:color="auto" w:sz="4" w:space="0"/>
              <w:right w:val="single" w:color="auto" w:sz="8" w:space="0"/>
            </w:tcBorders>
            <w:vAlign w:val="center"/>
          </w:tcPr>
          <w:p>
            <w:pPr>
              <w:spacing w:line="300" w:lineRule="exact"/>
              <w:outlineLvl w:val="1"/>
              <w:rPr>
                <w:rFonts w:ascii="楷体" w:hAnsi="楷体" w:eastAsia="楷体" w:cs="楷体"/>
                <w:sz w:val="24"/>
              </w:rPr>
            </w:pPr>
            <w:r>
              <w:rPr>
                <w:rFonts w:hint="eastAsia" w:ascii="楷体" w:hAnsi="楷体" w:eastAsia="楷体" w:cs="楷体"/>
                <w:sz w:val="24"/>
              </w:rPr>
              <w:t>本次招标收取保证金。本工程投标保证金金额为人民币</w:t>
            </w:r>
            <w:r>
              <w:rPr>
                <w:rFonts w:hint="eastAsia" w:ascii="楷体" w:hAnsi="楷体" w:eastAsia="楷体" w:cs="楷体"/>
                <w:b/>
                <w:bCs/>
                <w:sz w:val="24"/>
                <w:u w:val="single"/>
                <w:lang w:eastAsia="zh-CN"/>
              </w:rPr>
              <w:t>陆</w:t>
            </w:r>
            <w:r>
              <w:rPr>
                <w:rFonts w:hint="eastAsia" w:ascii="楷体" w:hAnsi="楷体" w:eastAsia="楷体" w:cs="楷体"/>
                <w:b/>
                <w:bCs/>
                <w:sz w:val="24"/>
                <w:u w:val="single"/>
              </w:rPr>
              <w:t>仟元整</w:t>
            </w:r>
            <w:r>
              <w:rPr>
                <w:rFonts w:hint="eastAsia" w:ascii="楷体" w:hAnsi="楷体" w:eastAsia="楷体" w:cs="楷体"/>
                <w:sz w:val="24"/>
              </w:rPr>
              <w:t>，投标保证金必须在投标文件接收截止时间前与投标文件一起送达投标文件接收地点（不要密封在响应文件中）。</w:t>
            </w:r>
          </w:p>
          <w:p>
            <w:pPr>
              <w:spacing w:line="300" w:lineRule="exact"/>
              <w:outlineLvl w:val="1"/>
              <w:rPr>
                <w:rFonts w:ascii="楷体" w:hAnsi="楷体" w:eastAsia="楷体" w:cs="楷体"/>
                <w:sz w:val="24"/>
              </w:rPr>
            </w:pPr>
            <w:r>
              <w:rPr>
                <w:rFonts w:hint="eastAsia" w:ascii="楷体" w:hAnsi="楷体" w:eastAsia="楷体" w:cs="楷体"/>
                <w:b/>
                <w:kern w:val="0"/>
                <w:sz w:val="24"/>
              </w:rPr>
              <w:t>投标保证金必须采用有效银行本票或银行汇票，不接受电汇、转账、现金、现金交款单、支票或其他形式的保证金。</w:t>
            </w:r>
            <w:r>
              <w:rPr>
                <w:rFonts w:hint="eastAsia" w:ascii="楷体" w:hAnsi="楷体" w:eastAsia="楷体" w:cs="楷体"/>
                <w:kern w:val="0"/>
                <w:sz w:val="24"/>
              </w:rPr>
              <w:t>各投标人须在</w:t>
            </w:r>
            <w:r>
              <w:rPr>
                <w:rFonts w:hint="eastAsia" w:ascii="楷体" w:hAnsi="楷体" w:eastAsia="楷体" w:cs="楷体"/>
                <w:bCs/>
                <w:sz w:val="24"/>
              </w:rPr>
              <w:t>投标文件接收截止时间</w:t>
            </w:r>
            <w:r>
              <w:rPr>
                <w:rFonts w:hint="eastAsia" w:ascii="楷体" w:hAnsi="楷体" w:eastAsia="楷体" w:cs="楷体"/>
                <w:kern w:val="0"/>
                <w:sz w:val="24"/>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sz w:val="24"/>
              </w:rPr>
              <w:t>江苏双清工程造价咨询有限公司，开户行：中国银行股份有限公司盐城分行，账号：5131582080</w:t>
            </w:r>
            <w:r>
              <w:rPr>
                <w:rFonts w:hint="eastAsia" w:ascii="楷体" w:hAnsi="楷体" w:eastAsia="楷体" w:cs="楷体"/>
                <w:sz w:val="24"/>
                <w:lang w:val="en-US" w:eastAsia="zh-CN"/>
              </w:rPr>
              <w:t>0</w:t>
            </w:r>
            <w:r>
              <w:rPr>
                <w:rFonts w:hint="eastAsia" w:ascii="楷体" w:hAnsi="楷体" w:eastAsia="楷体" w:cs="楷体"/>
                <w:sz w:val="24"/>
              </w:rPr>
              <w:t>1</w:t>
            </w:r>
            <w:r>
              <w:rPr>
                <w:rFonts w:hint="eastAsia" w:ascii="楷体" w:hAnsi="楷体" w:eastAsia="楷体" w:cs="楷体"/>
                <w:kern w:val="0"/>
                <w:sz w:val="24"/>
              </w:rPr>
              <w:t>。</w:t>
            </w:r>
            <w:r>
              <w:rPr>
                <w:rFonts w:hint="eastAsia" w:ascii="楷体" w:hAnsi="楷体" w:eastAsia="楷体" w:cs="楷体"/>
                <w:bCs/>
                <w:sz w:val="24"/>
              </w:rPr>
              <w:t>投标文件接收截止时间前</w:t>
            </w:r>
            <w:r>
              <w:rPr>
                <w:rFonts w:hint="eastAsia" w:ascii="楷体" w:hAnsi="楷体" w:eastAsia="楷体" w:cs="楷体"/>
                <w:kern w:val="0"/>
                <w:sz w:val="24"/>
              </w:rPr>
              <w:t>，各投标人将有效银行本票原件或银行汇票原件带至开标现场交工作人员核验，未按上述要求交纳投标保证金的，</w:t>
            </w:r>
            <w:r>
              <w:rPr>
                <w:rFonts w:hint="eastAsia" w:ascii="楷体" w:hAnsi="楷体" w:eastAsia="楷体" w:cs="楷体"/>
                <w:sz w:val="24"/>
              </w:rPr>
              <w:t>将被视为非响应性投标而予以拒绝。</w:t>
            </w:r>
          </w:p>
          <w:p>
            <w:pPr>
              <w:spacing w:line="300" w:lineRule="exact"/>
              <w:outlineLvl w:val="1"/>
              <w:rPr>
                <w:rFonts w:ascii="楷体" w:hAnsi="楷体" w:eastAsia="楷体" w:cs="楷体"/>
                <w:kern w:val="0"/>
                <w:sz w:val="24"/>
              </w:rPr>
            </w:pPr>
            <w:r>
              <w:rPr>
                <w:rFonts w:hint="eastAsia" w:ascii="楷体" w:hAnsi="楷体" w:eastAsia="楷体" w:cs="楷体"/>
                <w:sz w:val="24"/>
              </w:rPr>
              <w:t>投标保证金退还方式：未中标人的投标保证金现场退还，中标人的投标保证金在签订合同并交纳招标代理服务费后，凭合同原件及交费凭证至招标代理机构财务部退还。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2"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32"/>
              <w:adjustRightInd w:val="0"/>
              <w:snapToGrid w:val="0"/>
              <w:spacing w:line="320" w:lineRule="exact"/>
              <w:jc w:val="center"/>
              <w:rPr>
                <w:rFonts w:ascii="楷体" w:hAnsi="楷体" w:eastAsia="楷体" w:cs="楷体"/>
                <w:sz w:val="24"/>
              </w:rPr>
            </w:pPr>
            <w:r>
              <w:rPr>
                <w:rFonts w:hint="eastAsia" w:ascii="楷体" w:hAnsi="楷体" w:eastAsia="楷体" w:cs="楷体"/>
                <w:sz w:val="24"/>
              </w:rPr>
              <w:t>3</w:t>
            </w:r>
          </w:p>
        </w:tc>
        <w:tc>
          <w:tcPr>
            <w:tcW w:w="8666" w:type="dxa"/>
            <w:tcBorders>
              <w:top w:val="single" w:color="auto" w:sz="4" w:space="0"/>
              <w:left w:val="single" w:color="auto" w:sz="4" w:space="0"/>
              <w:bottom w:val="single" w:color="auto" w:sz="4" w:space="0"/>
              <w:right w:val="single" w:color="auto" w:sz="8" w:space="0"/>
            </w:tcBorders>
            <w:vAlign w:val="center"/>
          </w:tcPr>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 xml:space="preserve">递交疑问时间：投标文件接收截止时间3日前； </w:t>
            </w:r>
          </w:p>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递交方式：发送电子邮件并电话告知，递交地址（邮箱）：</w:t>
            </w:r>
            <w:r>
              <w:fldChar w:fldCharType="begin"/>
            </w:r>
            <w:r>
              <w:instrText xml:space="preserve"> HYPERLINK "mailto:310920981@qq.com" </w:instrText>
            </w:r>
            <w:r>
              <w:fldChar w:fldCharType="separate"/>
            </w:r>
            <w:r>
              <w:rPr>
                <w:rFonts w:hint="eastAsia" w:ascii="楷体" w:hAnsi="楷体" w:eastAsia="楷体" w:cs="楷体"/>
                <w:kern w:val="2"/>
                <w:sz w:val="24"/>
              </w:rPr>
              <w:t>310920981@qq.com</w:t>
            </w:r>
            <w:r>
              <w:rPr>
                <w:rFonts w:hint="eastAsia" w:ascii="楷体" w:hAnsi="楷体" w:eastAsia="楷体" w:cs="楷体"/>
                <w:kern w:val="2"/>
                <w:sz w:val="24"/>
              </w:rPr>
              <w:fldChar w:fldCharType="end"/>
            </w:r>
            <w:r>
              <w:rPr>
                <w:rFonts w:hint="eastAsia" w:ascii="楷体" w:hAnsi="楷体" w:eastAsia="楷体" w:cs="楷体"/>
                <w:kern w:val="2"/>
                <w:sz w:val="24"/>
              </w:rPr>
              <w:t xml:space="preserve">。 </w:t>
            </w:r>
            <w:r>
              <w:rPr>
                <w:rFonts w:hint="eastAsia" w:ascii="楷体" w:hAnsi="楷体" w:eastAsia="楷体" w:cs="楷体"/>
                <w:bCs/>
                <w:sz w:val="24"/>
              </w:rPr>
              <w:t xml:space="preserve"> </w:t>
            </w:r>
            <w:r>
              <w:rPr>
                <w:rFonts w:hint="eastAsia" w:ascii="楷体" w:hAnsi="楷体" w:eastAsia="楷体" w:cs="楷体"/>
                <w:kern w:val="2"/>
                <w:sz w:val="24"/>
              </w:rPr>
              <w:t xml:space="preserve"> </w:t>
            </w:r>
          </w:p>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投标人须及时登录</w:t>
            </w:r>
            <w:r>
              <w:rPr>
                <w:rFonts w:hint="eastAsia" w:ascii="楷体" w:hAnsi="楷体" w:eastAsia="楷体" w:cs="楷体"/>
                <w:bCs/>
                <w:sz w:val="24"/>
              </w:rPr>
              <w:t>“盐城市政府采购网”和“盐城工业职业技术学院招标采购网”</w:t>
            </w:r>
            <w:r>
              <w:rPr>
                <w:rFonts w:hint="eastAsia" w:ascii="楷体" w:hAnsi="楷体" w:eastAsia="楷体" w:cs="楷体"/>
                <w:kern w:val="2"/>
                <w:sz w:val="24"/>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kern w:val="2"/>
                <w:sz w:val="24"/>
              </w:rPr>
            </w:pPr>
            <w:r>
              <w:rPr>
                <w:rFonts w:hint="eastAsia" w:ascii="楷体" w:hAnsi="楷体" w:eastAsia="楷体" w:cs="楷体"/>
                <w:kern w:val="2"/>
                <w:sz w:val="24"/>
              </w:rPr>
              <w:t>4</w:t>
            </w:r>
          </w:p>
        </w:tc>
        <w:tc>
          <w:tcPr>
            <w:tcW w:w="8666" w:type="dxa"/>
            <w:vAlign w:val="center"/>
          </w:tcPr>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投标文件递交截止时间：</w:t>
            </w:r>
            <w:r>
              <w:rPr>
                <w:rFonts w:hint="eastAsia" w:ascii="楷体" w:hAnsi="楷体" w:eastAsia="楷体" w:cs="楷体"/>
                <w:sz w:val="24"/>
                <w:u w:val="single"/>
              </w:rPr>
              <w:t>2020年</w:t>
            </w:r>
            <w:r>
              <w:rPr>
                <w:rFonts w:hint="eastAsia" w:ascii="楷体" w:hAnsi="楷体" w:eastAsia="楷体" w:cs="楷体"/>
                <w:sz w:val="24"/>
                <w:u w:val="single"/>
                <w:lang w:val="en-US" w:eastAsia="zh-CN"/>
              </w:rPr>
              <w:t>11</w:t>
            </w:r>
            <w:r>
              <w:rPr>
                <w:rFonts w:hint="eastAsia" w:ascii="楷体" w:hAnsi="楷体" w:eastAsia="楷体" w:cs="楷体"/>
                <w:sz w:val="24"/>
                <w:u w:val="single"/>
              </w:rPr>
              <w:t>月</w:t>
            </w:r>
            <w:r>
              <w:rPr>
                <w:rFonts w:hint="eastAsia" w:ascii="楷体" w:hAnsi="楷体" w:eastAsia="楷体" w:cs="楷体"/>
                <w:sz w:val="24"/>
                <w:u w:val="single"/>
                <w:lang w:val="en-US" w:eastAsia="zh-CN"/>
              </w:rPr>
              <w:t>26</w:t>
            </w:r>
            <w:r>
              <w:rPr>
                <w:rFonts w:hint="eastAsia" w:ascii="楷体" w:hAnsi="楷体" w:eastAsia="楷体" w:cs="楷体"/>
                <w:sz w:val="24"/>
                <w:u w:val="single"/>
              </w:rPr>
              <w:t>日</w:t>
            </w:r>
            <w:r>
              <w:rPr>
                <w:rFonts w:hint="eastAsia" w:ascii="楷体" w:hAnsi="楷体" w:eastAsia="楷体" w:cs="楷体"/>
                <w:sz w:val="24"/>
                <w:u w:val="single"/>
                <w:lang w:val="en-US" w:eastAsia="zh-CN"/>
              </w:rPr>
              <w:t>15</w:t>
            </w:r>
            <w:r>
              <w:rPr>
                <w:rFonts w:hint="eastAsia" w:ascii="楷体" w:hAnsi="楷体" w:eastAsia="楷体" w:cs="楷体"/>
                <w:sz w:val="24"/>
                <w:u w:val="single"/>
              </w:rPr>
              <w:t>：00时</w:t>
            </w:r>
            <w:r>
              <w:rPr>
                <w:rFonts w:hint="eastAsia" w:ascii="楷体" w:hAnsi="楷体" w:eastAsia="楷体" w:cs="楷体"/>
                <w:kern w:val="2"/>
                <w:sz w:val="24"/>
              </w:rPr>
              <w:t>；</w:t>
            </w:r>
          </w:p>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 xml:space="preserve">地点: </w:t>
            </w:r>
            <w:r>
              <w:rPr>
                <w:rFonts w:hint="eastAsia" w:ascii="楷体" w:hAnsi="楷体" w:eastAsia="楷体" w:cs="楷体"/>
                <w:sz w:val="24"/>
              </w:rPr>
              <w:t>盐城工业职业技术学院（盐城市解放南路285号）后勤服务中心四楼402开标室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ascii="楷体" w:hAnsi="楷体" w:eastAsia="楷体" w:cs="楷体"/>
                <w:kern w:val="2"/>
                <w:sz w:val="24"/>
              </w:rPr>
            </w:pPr>
            <w:r>
              <w:rPr>
                <w:rFonts w:hint="eastAsia" w:ascii="楷体" w:hAnsi="楷体" w:eastAsia="楷体" w:cs="楷体"/>
                <w:kern w:val="2"/>
                <w:sz w:val="24"/>
              </w:rPr>
              <w:t>5</w:t>
            </w:r>
          </w:p>
        </w:tc>
        <w:tc>
          <w:tcPr>
            <w:tcW w:w="8666" w:type="dxa"/>
            <w:tcBorders>
              <w:top w:val="single" w:color="auto" w:sz="4" w:space="0"/>
              <w:left w:val="single" w:color="auto" w:sz="4" w:space="0"/>
              <w:bottom w:val="single" w:color="auto" w:sz="4" w:space="0"/>
              <w:right w:val="single" w:color="auto" w:sz="8" w:space="0"/>
            </w:tcBorders>
            <w:vAlign w:val="center"/>
          </w:tcPr>
          <w:p>
            <w:pPr>
              <w:pStyle w:val="9"/>
              <w:adjustRightInd w:val="0"/>
              <w:snapToGrid w:val="0"/>
              <w:spacing w:line="300" w:lineRule="exact"/>
              <w:rPr>
                <w:rFonts w:ascii="楷体" w:hAnsi="楷体" w:eastAsia="楷体" w:cs="楷体"/>
                <w:kern w:val="2"/>
                <w:sz w:val="24"/>
              </w:rPr>
            </w:pPr>
            <w:r>
              <w:rPr>
                <w:rFonts w:hint="eastAsia" w:ascii="楷体" w:hAnsi="楷体" w:eastAsia="楷体" w:cs="楷体"/>
                <w:kern w:val="2"/>
                <w:sz w:val="24"/>
              </w:rPr>
              <w:t>开标时间：</w:t>
            </w:r>
            <w:r>
              <w:rPr>
                <w:rFonts w:hint="eastAsia" w:ascii="楷体" w:hAnsi="楷体" w:eastAsia="楷体" w:cs="楷体"/>
                <w:sz w:val="24"/>
                <w:u w:val="single"/>
              </w:rPr>
              <w:t>2020年</w:t>
            </w:r>
            <w:r>
              <w:rPr>
                <w:rFonts w:hint="eastAsia" w:ascii="楷体" w:hAnsi="楷体" w:eastAsia="楷体" w:cs="楷体"/>
                <w:sz w:val="24"/>
                <w:u w:val="single"/>
                <w:lang w:val="en-US" w:eastAsia="zh-CN"/>
              </w:rPr>
              <w:t>11</w:t>
            </w:r>
            <w:r>
              <w:rPr>
                <w:rFonts w:hint="eastAsia" w:ascii="楷体" w:hAnsi="楷体" w:eastAsia="楷体" w:cs="楷体"/>
                <w:sz w:val="24"/>
                <w:u w:val="single"/>
              </w:rPr>
              <w:t>月</w:t>
            </w:r>
            <w:r>
              <w:rPr>
                <w:rFonts w:hint="eastAsia" w:ascii="楷体" w:hAnsi="楷体" w:eastAsia="楷体" w:cs="楷体"/>
                <w:sz w:val="24"/>
                <w:u w:val="single"/>
                <w:lang w:val="en-US" w:eastAsia="zh-CN"/>
              </w:rPr>
              <w:t>26</w:t>
            </w:r>
            <w:r>
              <w:rPr>
                <w:rFonts w:hint="eastAsia" w:ascii="楷体" w:hAnsi="楷体" w:eastAsia="楷体" w:cs="楷体"/>
                <w:sz w:val="24"/>
                <w:u w:val="single"/>
              </w:rPr>
              <w:t>日</w:t>
            </w:r>
            <w:r>
              <w:rPr>
                <w:rFonts w:hint="eastAsia" w:ascii="楷体" w:hAnsi="楷体" w:eastAsia="楷体" w:cs="楷体"/>
                <w:sz w:val="24"/>
                <w:u w:val="single"/>
                <w:lang w:val="en-US" w:eastAsia="zh-CN"/>
              </w:rPr>
              <w:t>15</w:t>
            </w:r>
            <w:r>
              <w:rPr>
                <w:rFonts w:hint="eastAsia" w:ascii="楷体" w:hAnsi="楷体" w:eastAsia="楷体" w:cs="楷体"/>
                <w:sz w:val="24"/>
                <w:u w:val="single"/>
              </w:rPr>
              <w:t>：00时</w:t>
            </w:r>
            <w:r>
              <w:rPr>
                <w:rFonts w:hint="eastAsia" w:ascii="楷体" w:hAnsi="楷体" w:eastAsia="楷体" w:cs="楷体"/>
                <w:kern w:val="2"/>
                <w:sz w:val="24"/>
              </w:rPr>
              <w:t>；</w:t>
            </w:r>
          </w:p>
          <w:p>
            <w:pPr>
              <w:pStyle w:val="9"/>
              <w:adjustRightInd w:val="0"/>
              <w:snapToGrid w:val="0"/>
              <w:spacing w:line="300" w:lineRule="exact"/>
              <w:rPr>
                <w:rFonts w:ascii="楷体" w:hAnsi="楷体" w:eastAsia="楷体" w:cs="楷体"/>
                <w:kern w:val="2"/>
                <w:sz w:val="24"/>
                <w:u w:val="single"/>
              </w:rPr>
            </w:pPr>
            <w:r>
              <w:rPr>
                <w:rFonts w:hint="eastAsia" w:ascii="楷体" w:hAnsi="楷体" w:eastAsia="楷体" w:cs="楷体"/>
                <w:kern w:val="2"/>
                <w:sz w:val="24"/>
              </w:rPr>
              <w:t>地点:</w:t>
            </w:r>
            <w:r>
              <w:rPr>
                <w:rFonts w:hint="eastAsia" w:ascii="楷体" w:hAnsi="楷体" w:eastAsia="楷体" w:cs="楷体"/>
                <w:sz w:val="24"/>
              </w:rPr>
              <w:t>盐城工业职业技术学院（盐城市解放南路285号）后勤服务中心四楼402开标室</w:t>
            </w:r>
          </w:p>
          <w:p>
            <w:pPr>
              <w:spacing w:line="300" w:lineRule="exact"/>
              <w:rPr>
                <w:rFonts w:ascii="楷体" w:hAnsi="楷体" w:eastAsia="楷体" w:cs="楷体"/>
                <w:sz w:val="24"/>
              </w:rPr>
            </w:pPr>
            <w:r>
              <w:rPr>
                <w:rFonts w:hint="eastAsia" w:ascii="楷体" w:hAnsi="楷体" w:eastAsia="楷体" w:cs="楷体"/>
                <w:sz w:val="24"/>
              </w:rPr>
              <w:t>必须出席开标会的人员：投标人的法定代表人或委托代理人；</w:t>
            </w:r>
          </w:p>
          <w:p>
            <w:pPr>
              <w:spacing w:line="300" w:lineRule="exact"/>
              <w:rPr>
                <w:rFonts w:ascii="楷体" w:hAnsi="楷体" w:eastAsia="楷体" w:cs="楷体"/>
                <w:sz w:val="24"/>
                <w:u w:val="single"/>
              </w:rPr>
            </w:pPr>
            <w:r>
              <w:rPr>
                <w:rFonts w:hint="eastAsia" w:ascii="楷体" w:hAnsi="楷体" w:eastAsia="楷体" w:cs="楷体"/>
                <w:sz w:val="24"/>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pPr>
        <w:spacing w:line="500" w:lineRule="exact"/>
        <w:ind w:firstLine="480" w:firstLineChars="200"/>
        <w:jc w:val="center"/>
        <w:rPr>
          <w:rFonts w:ascii="楷体" w:hAnsi="楷体" w:eastAsia="楷体" w:cs="楷体"/>
          <w:b/>
          <w:bCs/>
          <w:sz w:val="44"/>
        </w:rPr>
      </w:pPr>
      <w:r>
        <w:rPr>
          <w:rFonts w:hint="eastAsia" w:ascii="楷体" w:hAnsi="楷体" w:eastAsia="楷体" w:cs="楷体"/>
          <w:b/>
          <w:sz w:val="24"/>
        </w:rPr>
        <w:br w:type="page"/>
      </w:r>
      <w:r>
        <w:rPr>
          <w:rFonts w:hint="eastAsia" w:ascii="楷体" w:hAnsi="楷体" w:eastAsia="楷体" w:cs="楷体"/>
          <w:b/>
          <w:sz w:val="44"/>
          <w:szCs w:val="44"/>
        </w:rPr>
        <w:t>第二部分  总则</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1、综合说明</w:t>
      </w:r>
    </w:p>
    <w:p>
      <w:pPr>
        <w:spacing w:line="500" w:lineRule="exact"/>
        <w:ind w:firstLine="480" w:firstLineChars="200"/>
      </w:pPr>
      <w:r>
        <w:rPr>
          <w:rFonts w:hint="eastAsia" w:ascii="楷体" w:hAnsi="楷体" w:eastAsia="楷体" w:cs="楷体"/>
          <w:b/>
          <w:bCs/>
          <w:sz w:val="24"/>
        </w:rPr>
        <w:t>1.1</w:t>
      </w:r>
      <w:r>
        <w:rPr>
          <w:rFonts w:hint="eastAsia" w:ascii="楷体" w:hAnsi="楷体" w:eastAsia="楷体" w:cs="楷体"/>
          <w:b/>
          <w:sz w:val="24"/>
        </w:rPr>
        <w:t>招标范围及标段划分：</w:t>
      </w:r>
      <w:r>
        <w:rPr>
          <w:rFonts w:hint="eastAsia" w:ascii="楷体" w:hAnsi="楷体" w:eastAsia="楷体" w:cs="楷体"/>
          <w:sz w:val="24"/>
        </w:rPr>
        <w:t>本次招标共为1个标段，</w:t>
      </w:r>
      <w:r>
        <w:rPr>
          <w:rFonts w:hint="eastAsia" w:ascii="楷体" w:hAnsi="楷体" w:eastAsia="楷体" w:cs="楷体"/>
          <w:sz w:val="24"/>
          <w:lang w:eastAsia="zh-CN"/>
        </w:rPr>
        <w:t>盐城工业职业技术学院经贸管理学院会计实训室改造项目</w:t>
      </w:r>
      <w:r>
        <w:rPr>
          <w:rFonts w:hint="eastAsia" w:ascii="楷体" w:hAnsi="楷体" w:eastAsia="楷体" w:cs="楷体"/>
          <w:sz w:val="24"/>
        </w:rPr>
        <w:t>的施工，具体内容详按设计图纸、工程量清单及招标人要求执行，招标人保留进行调整的权利。</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1.2项目地点：</w:t>
      </w:r>
      <w:r>
        <w:rPr>
          <w:rFonts w:hint="eastAsia" w:ascii="楷体" w:hAnsi="楷体" w:eastAsia="楷体" w:cs="楷体"/>
          <w:sz w:val="24"/>
        </w:rPr>
        <w:t>盐城工业职业技术学院内（盐城市解放南路285号）。</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1.3承包方式：</w:t>
      </w:r>
      <w:r>
        <w:rPr>
          <w:rFonts w:hint="eastAsia" w:ascii="楷体" w:hAnsi="楷体" w:eastAsia="楷体" w:cs="楷体"/>
          <w:sz w:val="24"/>
        </w:rPr>
        <w:t>包工包料。</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1.4资金来源及比例：</w:t>
      </w:r>
      <w:r>
        <w:rPr>
          <w:rFonts w:hint="eastAsia" w:ascii="楷体" w:hAnsi="楷体" w:eastAsia="楷体" w:cs="楷体"/>
          <w:sz w:val="24"/>
        </w:rPr>
        <w:t>国有资金100%。</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2、招标方式</w:t>
      </w:r>
    </w:p>
    <w:p>
      <w:pPr>
        <w:spacing w:line="500" w:lineRule="exact"/>
        <w:ind w:firstLine="480" w:firstLineChars="200"/>
        <w:rPr>
          <w:rFonts w:ascii="楷体" w:hAnsi="楷体" w:eastAsia="楷体" w:cs="楷体"/>
          <w:b/>
          <w:sz w:val="24"/>
        </w:rPr>
      </w:pPr>
      <w:r>
        <w:rPr>
          <w:rFonts w:hint="eastAsia" w:ascii="楷体" w:hAnsi="楷体" w:eastAsia="楷体" w:cs="楷体"/>
          <w:sz w:val="24"/>
        </w:rPr>
        <w:t>2.1 本项目招标方式：公开招标。</w:t>
      </w:r>
    </w:p>
    <w:p>
      <w:pPr>
        <w:spacing w:line="500" w:lineRule="exact"/>
        <w:ind w:firstLine="480" w:firstLineChars="200"/>
        <w:rPr>
          <w:rFonts w:ascii="楷体" w:hAnsi="楷体" w:eastAsia="楷体" w:cs="楷体"/>
          <w:b/>
          <w:sz w:val="24"/>
        </w:rPr>
      </w:pPr>
      <w:r>
        <w:rPr>
          <w:rFonts w:hint="eastAsia" w:ascii="楷体" w:hAnsi="楷体" w:eastAsia="楷体" w:cs="楷体"/>
          <w:sz w:val="24"/>
        </w:rPr>
        <w:t>2.2 招标文件的组成：本项目招标文件由投标须知、总则、技术参数、投标文件编制方法及要求、开标、评标、定标、合同主要条款、评标定标办法、附件等八部分等内容组成。</w:t>
      </w:r>
    </w:p>
    <w:p>
      <w:pPr>
        <w:snapToGrid w:val="0"/>
        <w:spacing w:line="500" w:lineRule="exact"/>
        <w:ind w:firstLine="480" w:firstLineChars="200"/>
        <w:jc w:val="left"/>
        <w:rPr>
          <w:rFonts w:ascii="楷体" w:hAnsi="楷体" w:eastAsia="楷体" w:cs="楷体"/>
          <w:b/>
          <w:sz w:val="24"/>
        </w:rPr>
      </w:pPr>
      <w:r>
        <w:rPr>
          <w:rFonts w:hint="eastAsia" w:ascii="楷体" w:hAnsi="楷体" w:eastAsia="楷体" w:cs="楷体"/>
          <w:b/>
          <w:sz w:val="24"/>
        </w:rPr>
        <w:t>3、投标人资格要求</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3.1投标人资格要求：投标人具有建设行政主管部门核发的建筑工程施工总承包三级及以上资质或建筑装修装饰工程专业承包二级及以上资质或有效期内的建筑装饰装修工程设计与施工一体化三级及以上资质的独立法人，并持有安全生产许可证。</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3.2财务要求：投标人应具有独立订立合同的能力，未处于财产被接管、冻结和破产状态。</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3.3信誉要求</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（1）投标人没有被国家、江苏省省级有关部门及盐城市级有关部门暂停招投标或市场准入资格且在公示处罚期内。</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（4）投标人不存在盐住建建筑【2020】24文规定的安全生产事故情形，且在通报暂停投标资格处罚期内。</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3.4投标项目负责人资格要求：项目负责人须具有建筑工程专业二级及以上建造师资格，同时须具有安全生产考核合格证（B类）。</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3.5项目负责人从本工程投标文件递交截止之日起必须满足下列条件：</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项目负责人不得同时在两个或者两个以上单位受聘或者执业特指以下三种情形：</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（一）同时在两个及以上单位签订劳动合同或交纳社会保险；</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（二）将本人执（职）业资格证书同时注册在两个及以上单位</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（三）项目负责人担任其他公司法定代表人。</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项目负责人投标截止时不得同时在其他建设工程项目中担任现场管理人员、不在本项目兼任本项目的其它岗位。</w:t>
      </w:r>
      <w:r>
        <w:rPr>
          <w:rFonts w:hint="eastAsia" w:ascii="楷体" w:hAnsi="楷体" w:eastAsia="楷体" w:cs="楷体"/>
          <w:bCs/>
          <w:sz w:val="24"/>
        </w:rPr>
        <w:br w:type="textWrapping"/>
      </w:r>
      <w:r>
        <w:rPr>
          <w:rFonts w:hint="eastAsia" w:ascii="楷体" w:hAnsi="楷体" w:eastAsia="楷体" w:cs="楷体"/>
          <w:bCs/>
          <w:sz w:val="24"/>
        </w:rPr>
        <w:t xml:space="preserve">    在建工程：处于中标结果公告（直接发包的项目以网上合同备案为准）到合同约定的工程全部完成且竣工验收合格期间的工程。竣工验收证明是指由建设单位（或监理）组织工程建设各方验收合格，并签署相应的单位工程质量竣工验收记录或者分部工程质量验收记录等验收文件。</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3.6本项目招标人不接受投标人的企业法定代表人担任项目负责人。</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3.7本项目招标人不接受企业退休人员担任项目负责人。</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3.8投标申请人须保证项目负责人及代理人均为本单位的正式职工，并确保从2020年</w:t>
      </w:r>
      <w:r>
        <w:rPr>
          <w:rFonts w:hint="eastAsia" w:ascii="楷体" w:hAnsi="楷体" w:eastAsia="楷体" w:cs="楷体"/>
          <w:bCs/>
          <w:sz w:val="24"/>
          <w:lang w:val="en-US" w:eastAsia="zh-CN"/>
        </w:rPr>
        <w:t>3</w:t>
      </w:r>
      <w:r>
        <w:rPr>
          <w:rFonts w:hint="eastAsia" w:ascii="楷体" w:hAnsi="楷体" w:eastAsia="楷体" w:cs="楷体"/>
          <w:bCs/>
          <w:sz w:val="24"/>
        </w:rPr>
        <w:t>月开始至投标截止之日当月至少连续6个月均已在本单位缴纳养老保险，中标候选人公示前、异议（投诉）提出时相关单位需提供缴费记录证明原件给招标人核验。（例：如开标日期为2015年10月的某一天，则投标单位需保证以上人员2015年2月以后任意连续6月养老保险均在本单位缴纳）。</w:t>
      </w:r>
    </w:p>
    <w:p>
      <w:pPr>
        <w:spacing w:line="440" w:lineRule="exact"/>
        <w:ind w:firstLine="480" w:firstLineChars="200"/>
        <w:jc w:val="left"/>
        <w:rPr>
          <w:rFonts w:ascii="楷体" w:hAnsi="楷体" w:eastAsia="楷体" w:cs="楷体"/>
          <w:bCs/>
          <w:sz w:val="24"/>
        </w:rPr>
      </w:pPr>
      <w:r>
        <w:rPr>
          <w:rFonts w:hint="eastAsia" w:ascii="楷体" w:hAnsi="楷体" w:eastAsia="楷体" w:cs="楷体"/>
          <w:bCs/>
          <w:sz w:val="24"/>
        </w:rPr>
        <w:t>3.9本招标工程不接受联合体投标。</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3.10投标人不得存在下列情形之一：</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3.10.1.为招标人不具有独立法人资格的附属机构（单位）。</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3.10.2.为本招标项目的监理人、代建人、项目管理人，以及为本招标项目提供招标代理、设计服务的。</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3.10.3.与本招标项目的监理人、代建人、招标代理机构同为一个法定代表人的，或者相互控股、参股的。</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3.10.4.与招标人存在利害关系可能影响招标公正性的。</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 xml:space="preserve">3.10.5.单位负责人为同一人或者存在控股、管理关系的不同单位。    </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3.10.6.处于被责令停业、财产被接管、冻结和破产状态，以及投标资格被取消或者被暂停且在暂停期内。</w:t>
      </w:r>
    </w:p>
    <w:p>
      <w:pPr>
        <w:spacing w:line="500" w:lineRule="exact"/>
        <w:ind w:firstLine="480" w:firstLineChars="200"/>
        <w:jc w:val="left"/>
        <w:rPr>
          <w:rFonts w:ascii="楷体" w:hAnsi="楷体" w:eastAsia="楷体" w:cs="楷体"/>
          <w:sz w:val="24"/>
        </w:rPr>
      </w:pPr>
      <w:r>
        <w:rPr>
          <w:rFonts w:hint="eastAsia" w:ascii="楷体" w:hAnsi="楷体" w:eastAsia="楷体" w:cs="楷体"/>
          <w:sz w:val="24"/>
        </w:rPr>
        <w:t>3.10.7.因拖欠工人工资或者因发生质量安全事故被有关部门限制在招标项目所在地承接工程的。</w:t>
      </w:r>
    </w:p>
    <w:p>
      <w:pPr>
        <w:snapToGrid w:val="0"/>
        <w:spacing w:line="500" w:lineRule="exact"/>
        <w:ind w:firstLine="480" w:firstLineChars="200"/>
        <w:jc w:val="left"/>
        <w:rPr>
          <w:rFonts w:ascii="楷体" w:hAnsi="楷体" w:eastAsia="楷体" w:cs="楷体"/>
          <w:sz w:val="24"/>
        </w:rPr>
      </w:pPr>
      <w:r>
        <w:rPr>
          <w:rFonts w:hint="eastAsia" w:ascii="楷体" w:hAnsi="楷体" w:eastAsia="楷体" w:cs="楷体"/>
          <w:sz w:val="24"/>
        </w:rPr>
        <w:t>3.11不符合法律、法规规定的其他条件。</w:t>
      </w:r>
    </w:p>
    <w:p>
      <w:pPr>
        <w:spacing w:line="500" w:lineRule="exact"/>
        <w:ind w:firstLine="480" w:firstLineChars="200"/>
        <w:outlineLvl w:val="0"/>
        <w:rPr>
          <w:rFonts w:ascii="楷体" w:hAnsi="楷体" w:eastAsia="楷体" w:cs="楷体"/>
          <w:b/>
          <w:sz w:val="24"/>
        </w:rPr>
      </w:pPr>
      <w:r>
        <w:rPr>
          <w:rFonts w:hint="eastAsia" w:ascii="楷体" w:hAnsi="楷体" w:eastAsia="楷体" w:cs="楷体"/>
          <w:b/>
          <w:sz w:val="24"/>
        </w:rPr>
        <w:t xml:space="preserve">4、资格审查方式 </w:t>
      </w:r>
    </w:p>
    <w:p>
      <w:pPr>
        <w:snapToGrid w:val="0"/>
        <w:spacing w:line="500" w:lineRule="exact"/>
        <w:ind w:firstLine="480" w:firstLineChars="200"/>
        <w:jc w:val="left"/>
        <w:rPr>
          <w:rFonts w:ascii="楷体" w:hAnsi="楷体" w:eastAsia="楷体" w:cs="楷体"/>
          <w:sz w:val="24"/>
        </w:rPr>
      </w:pPr>
      <w:r>
        <w:rPr>
          <w:rFonts w:hint="eastAsia" w:ascii="楷体" w:hAnsi="楷体" w:eastAsia="楷体" w:cs="楷体"/>
          <w:sz w:val="24"/>
        </w:rPr>
        <w:t>4.1本招标项目资格审查方式：采用</w:t>
      </w:r>
      <w:r>
        <w:rPr>
          <w:rFonts w:hint="eastAsia" w:ascii="楷体" w:hAnsi="楷体" w:eastAsia="楷体" w:cs="楷体"/>
          <w:b/>
          <w:sz w:val="24"/>
          <w:u w:val="single"/>
        </w:rPr>
        <w:t>资格后审</w:t>
      </w:r>
      <w:r>
        <w:rPr>
          <w:rFonts w:hint="eastAsia" w:ascii="楷体" w:hAnsi="楷体" w:eastAsia="楷体" w:cs="楷体"/>
          <w:sz w:val="24"/>
        </w:rPr>
        <w:t>办法。</w:t>
      </w:r>
    </w:p>
    <w:p>
      <w:pPr>
        <w:snapToGrid w:val="0"/>
        <w:spacing w:line="500" w:lineRule="exact"/>
        <w:ind w:firstLine="480" w:firstLineChars="200"/>
        <w:jc w:val="left"/>
        <w:rPr>
          <w:rFonts w:ascii="楷体" w:hAnsi="楷体" w:eastAsia="楷体" w:cs="楷体"/>
          <w:b/>
          <w:sz w:val="24"/>
        </w:rPr>
      </w:pPr>
      <w:r>
        <w:rPr>
          <w:rFonts w:hint="eastAsia" w:ascii="楷体" w:hAnsi="楷体" w:eastAsia="楷体" w:cs="楷体"/>
          <w:b/>
          <w:sz w:val="24"/>
        </w:rPr>
        <w:t>5、投标有效期</w:t>
      </w:r>
    </w:p>
    <w:p>
      <w:pPr>
        <w:spacing w:line="500" w:lineRule="exact"/>
        <w:ind w:firstLine="480" w:firstLineChars="200"/>
        <w:rPr>
          <w:rFonts w:ascii="楷体" w:hAnsi="楷体" w:eastAsia="楷体" w:cs="楷体"/>
          <w:sz w:val="24"/>
        </w:rPr>
      </w:pPr>
      <w:r>
        <w:rPr>
          <w:rFonts w:hint="eastAsia" w:ascii="楷体" w:hAnsi="楷体" w:eastAsia="楷体" w:cs="楷体"/>
          <w:sz w:val="24"/>
        </w:rPr>
        <w:t xml:space="preserve">本招标项目投标有效期为 </w:t>
      </w:r>
      <w:r>
        <w:rPr>
          <w:rFonts w:hint="eastAsia" w:ascii="楷体" w:hAnsi="楷体" w:eastAsia="楷体" w:cs="楷体"/>
          <w:sz w:val="24"/>
          <w:u w:val="single"/>
        </w:rPr>
        <w:t xml:space="preserve">90 </w:t>
      </w:r>
      <w:r>
        <w:rPr>
          <w:rFonts w:hint="eastAsia" w:ascii="楷体" w:hAnsi="楷体" w:eastAsia="楷体" w:cs="楷体"/>
          <w:sz w:val="24"/>
        </w:rPr>
        <w:t>日。</w:t>
      </w:r>
    </w:p>
    <w:p>
      <w:pPr>
        <w:spacing w:line="500" w:lineRule="exact"/>
        <w:ind w:firstLine="480" w:firstLineChars="200"/>
        <w:outlineLvl w:val="0"/>
        <w:rPr>
          <w:rFonts w:ascii="楷体" w:hAnsi="楷体" w:eastAsia="楷体" w:cs="楷体"/>
          <w:b/>
          <w:sz w:val="24"/>
        </w:rPr>
      </w:pPr>
      <w:r>
        <w:rPr>
          <w:rFonts w:hint="eastAsia" w:ascii="楷体" w:hAnsi="楷体" w:eastAsia="楷体" w:cs="楷体"/>
          <w:b/>
          <w:sz w:val="24"/>
        </w:rPr>
        <w:t>6、投标保证金</w:t>
      </w:r>
    </w:p>
    <w:p>
      <w:pPr>
        <w:spacing w:line="500" w:lineRule="exact"/>
        <w:ind w:firstLine="480" w:firstLineChars="200"/>
        <w:rPr>
          <w:rFonts w:ascii="楷体" w:hAnsi="楷体" w:eastAsia="楷体" w:cs="楷体"/>
          <w:sz w:val="24"/>
        </w:rPr>
      </w:pPr>
      <w:r>
        <w:rPr>
          <w:rFonts w:hint="eastAsia" w:ascii="楷体" w:hAnsi="楷体" w:eastAsia="楷体" w:cs="楷体"/>
          <w:sz w:val="24"/>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pPr>
        <w:spacing w:line="500" w:lineRule="exact"/>
        <w:ind w:firstLine="480" w:firstLineChars="200"/>
        <w:rPr>
          <w:rFonts w:ascii="楷体" w:hAnsi="楷体" w:eastAsia="楷体" w:cs="楷体"/>
          <w:kern w:val="0"/>
          <w:sz w:val="24"/>
        </w:rPr>
      </w:pPr>
      <w:r>
        <w:rPr>
          <w:rFonts w:hint="eastAsia" w:ascii="楷体" w:hAnsi="楷体" w:eastAsia="楷体" w:cs="楷体"/>
          <w:sz w:val="24"/>
        </w:rPr>
        <w:t>投标人缴纳投标保证金的，无故不投标的投标保证金暂扣；如因特殊原因不能投标的，应与开标前向招标人提出书面申请并说明原因，获得招标人的认可。</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 xml:space="preserve">6.2　除不可抗力情况外，投标人出现下列情形之一的，没收其投标保证金，已中标的，取消其中标资格，给招标人造成的损失超过投标保证金数额的，中标人还应当对超过部分予以赔偿：  </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6.2.1投标人在投标有效期内撤回或修改其投标文件的；</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6.2.2中标后无正当理由放弃中标项目的；</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6.2.3中标后拒不按照招标文件的要求提交履约保证金的；</w:t>
      </w:r>
    </w:p>
    <w:p>
      <w:pPr>
        <w:adjustRightInd w:val="0"/>
        <w:snapToGrid w:val="0"/>
        <w:spacing w:line="500" w:lineRule="exact"/>
        <w:ind w:firstLine="480" w:firstLineChars="200"/>
        <w:rPr>
          <w:rFonts w:ascii="楷体" w:hAnsi="楷体" w:eastAsia="楷体" w:cs="楷体"/>
          <w:sz w:val="24"/>
        </w:rPr>
      </w:pPr>
      <w:r>
        <w:rPr>
          <w:rFonts w:hint="eastAsia" w:ascii="楷体" w:hAnsi="楷体" w:eastAsia="楷体" w:cs="楷体"/>
          <w:sz w:val="24"/>
        </w:rPr>
        <w:t>6.2.4中标后无正当理由不与招标人签订合同，或者在签订合同时向招标人提出附加条件或者更改合同实质性内容要求的。</w:t>
      </w:r>
    </w:p>
    <w:p>
      <w:pPr>
        <w:spacing w:line="500" w:lineRule="exact"/>
        <w:ind w:firstLine="480" w:firstLineChars="200"/>
        <w:rPr>
          <w:rFonts w:ascii="楷体" w:hAnsi="楷体" w:eastAsia="楷体" w:cs="楷体"/>
          <w:sz w:val="24"/>
        </w:rPr>
      </w:pPr>
      <w:r>
        <w:rPr>
          <w:rFonts w:hint="eastAsia" w:ascii="楷体" w:hAnsi="楷体" w:eastAsia="楷体" w:cs="楷体"/>
          <w:sz w:val="24"/>
        </w:rPr>
        <w:t>6.2.5投标有效期间，投标人在中国行政区域有不良行为记录且在公示期内，经查属实的；</w:t>
      </w:r>
    </w:p>
    <w:p>
      <w:pPr>
        <w:spacing w:line="500" w:lineRule="exact"/>
        <w:ind w:firstLine="480" w:firstLineChars="200"/>
        <w:rPr>
          <w:rFonts w:ascii="楷体" w:hAnsi="楷体" w:eastAsia="楷体" w:cs="楷体"/>
          <w:sz w:val="24"/>
        </w:rPr>
      </w:pPr>
      <w:r>
        <w:rPr>
          <w:rFonts w:hint="eastAsia" w:ascii="楷体" w:hAnsi="楷体" w:eastAsia="楷体" w:cs="楷体"/>
          <w:sz w:val="24"/>
        </w:rPr>
        <w:t>6.2.6投标人的</w:t>
      </w:r>
      <w:r>
        <w:rPr>
          <w:rFonts w:hint="eastAsia" w:ascii="楷体" w:hAnsi="楷体" w:eastAsia="楷体" w:cs="楷体"/>
          <w:sz w:val="24"/>
          <w:shd w:val="clear" w:color="auto" w:fill="FFFFFF"/>
        </w:rPr>
        <w:t>项目负责人</w:t>
      </w:r>
      <w:r>
        <w:rPr>
          <w:rFonts w:hint="eastAsia" w:ascii="楷体" w:hAnsi="楷体" w:eastAsia="楷体" w:cs="楷体"/>
          <w:sz w:val="24"/>
        </w:rPr>
        <w:t>被反映或投诉有在建工程，并经查属实的。</w:t>
      </w:r>
    </w:p>
    <w:p>
      <w:pPr>
        <w:spacing w:line="500" w:lineRule="exact"/>
        <w:ind w:firstLine="480" w:firstLineChars="200"/>
        <w:rPr>
          <w:rFonts w:ascii="楷体" w:hAnsi="楷体" w:eastAsia="楷体" w:cs="楷体"/>
          <w:sz w:val="24"/>
        </w:rPr>
      </w:pPr>
      <w:r>
        <w:rPr>
          <w:rFonts w:hint="eastAsia" w:ascii="楷体" w:hAnsi="楷体" w:eastAsia="楷体" w:cs="楷体"/>
          <w:sz w:val="24"/>
        </w:rPr>
        <w:t>6.2.7 投标人存在串通投标行为的。</w:t>
      </w:r>
    </w:p>
    <w:p>
      <w:pPr>
        <w:adjustRightInd w:val="0"/>
        <w:snapToGrid w:val="0"/>
        <w:spacing w:line="500" w:lineRule="exact"/>
        <w:ind w:firstLine="480" w:firstLineChars="200"/>
        <w:rPr>
          <w:rFonts w:ascii="楷体" w:hAnsi="楷体" w:eastAsia="楷体" w:cs="楷体"/>
          <w:b/>
          <w:sz w:val="24"/>
        </w:rPr>
      </w:pPr>
      <w:r>
        <w:rPr>
          <w:rFonts w:hint="eastAsia" w:ascii="楷体" w:hAnsi="楷体" w:eastAsia="楷体" w:cs="楷体"/>
          <w:sz w:val="24"/>
        </w:rPr>
        <w:t>投标人（中标人）存在前款所述情形的，除按有关法律法规规定处罚外，还将作为其不良行为记录在有关网站上予以公示。</w:t>
      </w:r>
    </w:p>
    <w:p>
      <w:pPr>
        <w:widowControl/>
        <w:jc w:val="left"/>
        <w:rPr>
          <w:rFonts w:ascii="楷体" w:hAnsi="楷体" w:eastAsia="楷体" w:cs="楷体"/>
          <w:b/>
          <w:sz w:val="44"/>
          <w:szCs w:val="44"/>
        </w:rPr>
      </w:pPr>
    </w:p>
    <w:p>
      <w:pPr>
        <w:rPr>
          <w:rFonts w:ascii="楷体" w:hAnsi="楷体" w:eastAsia="楷体" w:cs="楷体"/>
          <w:b/>
          <w:sz w:val="44"/>
          <w:szCs w:val="44"/>
        </w:rPr>
      </w:pPr>
      <w:r>
        <w:rPr>
          <w:rFonts w:hint="eastAsia" w:ascii="楷体" w:hAnsi="楷体" w:eastAsia="楷体" w:cs="楷体"/>
          <w:b/>
          <w:sz w:val="44"/>
          <w:szCs w:val="44"/>
        </w:rPr>
        <w:br w:type="page"/>
      </w:r>
    </w:p>
    <w:p>
      <w:pPr>
        <w:spacing w:line="500" w:lineRule="exact"/>
        <w:jc w:val="center"/>
        <w:rPr>
          <w:rFonts w:ascii="楷体" w:hAnsi="楷体" w:eastAsia="楷体" w:cs="楷体"/>
          <w:b/>
          <w:sz w:val="44"/>
          <w:szCs w:val="44"/>
        </w:rPr>
      </w:pPr>
      <w:r>
        <w:rPr>
          <w:rFonts w:hint="eastAsia" w:ascii="楷体" w:hAnsi="楷体" w:eastAsia="楷体" w:cs="楷体"/>
          <w:b/>
          <w:sz w:val="44"/>
          <w:szCs w:val="44"/>
        </w:rPr>
        <w:t>第三部分  技术参数</w:t>
      </w:r>
    </w:p>
    <w:p>
      <w:pPr>
        <w:spacing w:line="500" w:lineRule="exact"/>
        <w:jc w:val="center"/>
        <w:rPr>
          <w:rFonts w:ascii="楷体" w:hAnsi="楷体" w:eastAsia="楷体" w:cs="楷体"/>
          <w:b/>
          <w:sz w:val="44"/>
          <w:szCs w:val="44"/>
        </w:rPr>
      </w:pP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1、计税方式</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本项目采用增值税一般计税方法。</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2、合同定价方式</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2.1固定单价合同。本项目建设工程合同采用“固定</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3、投标报价</w:t>
      </w:r>
    </w:p>
    <w:p>
      <w:pPr>
        <w:keepNext w:val="0"/>
        <w:keepLines w:val="0"/>
        <w:pageBreakBefore w:val="0"/>
        <w:widowControl w:val="0"/>
        <w:wordWrap/>
        <w:topLinePunct w:val="0"/>
        <w:autoSpaceDN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3.1投标报价范围：投标报价为投标人在投标文件中提出的各项支付金额的总和。投标报价应包括投标人在承诺工期内，达到投标人所承诺的质量标准，为完成本工程施工图纸、招标文件及工程量清单所确定的招标范围内的全部内容，所需要支付的一切费用和拟获得的利润、税金，并考虑了应承担的风险。投标人应充分考虑为完成上述内容所必须的人工费、材料费、机械费、管理费、利润、所有措施项目费、规费、税金以及附属工程临时工程、环境保护、特殊条件施工、地方矛盾处理、总承包服务费、风险费、现场施工围栏、竣工面的清理、垃圾清运、成品保护以及各种管线、建筑物、构筑物的加固围护费，以及政策性文件规定和市场风险等所需的全部费用，并计入投标报价中，凡漏项或少计均视为已包含在本次投标报价的范围内，招标人不再另行增加费用，竣工结算时均不调整。</w:t>
      </w:r>
    </w:p>
    <w:p>
      <w:pPr>
        <w:keepNext w:val="0"/>
        <w:keepLines w:val="0"/>
        <w:pageBreakBefore w:val="0"/>
        <w:widowControl w:val="0"/>
        <w:wordWrap/>
        <w:topLinePunct w:val="0"/>
        <w:autoSpaceDN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3.2投标报价的方式：固定</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单价报价。以体现风险共担的原则。由招标人提供工程量清单，投标人以工程量清单及图纸为基础填报相应的</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并计算合价。招标人要求投标人承担本招标文件合同专用条款中约定的风险内容及其范围（幅度）产生的风险费用，在施工过程中，当出现的风险内容及其范围（幅度）在合同约定的范围内，工程价款不作调整。</w:t>
      </w:r>
    </w:p>
    <w:p>
      <w:pPr>
        <w:keepNext w:val="0"/>
        <w:keepLines w:val="0"/>
        <w:pageBreakBefore w:val="0"/>
        <w:widowControl w:val="0"/>
        <w:wordWrap/>
        <w:topLinePunct w:val="0"/>
        <w:autoSpaceDN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若无相关设计变更，除本招标文件及施工合同约定允许调整外中标的</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单价不予调整，工程量按实际完成工程量结算。</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3.3投标报价的计价方法：本工程投标报价采用“工程量清单计价”法。投标人应根据招标人提供的工程量清单和施工图纸计算工程项目的</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单价和合价。工程量清单中每一个子目的单项均需计算并填写</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合价。投标人对招标人提供的工程量清单如有异议（包括对工程量清单中漏项的疑问），应在收到招标文件后按投标须知中规定的疑问送达时间提出。各投标人不得对招标人答疑后的工程量清单的序号、项目编码、项目名称、项目特征、计量单位、工程数量、暂列金额、暂估价等进行调整。对施工中发生的所有措施费及可预见费用由施工单位自行考虑，计入总价。</w:t>
      </w:r>
    </w:p>
    <w:p>
      <w:pPr>
        <w:keepNext w:val="0"/>
        <w:keepLines w:val="0"/>
        <w:pageBreakBefore w:val="0"/>
        <w:widowControl w:val="0"/>
        <w:kinsoku w:val="0"/>
        <w:wordWrap/>
        <w:overflowPunct w:val="0"/>
        <w:topLinePunct w:val="0"/>
        <w:autoSpaceDE w:val="0"/>
        <w:autoSpaceDN w:val="0"/>
        <w:bidi w:val="0"/>
        <w:adjustRightInd w:val="0"/>
        <w:snapToGrid/>
        <w:spacing w:line="440" w:lineRule="exact"/>
        <w:ind w:firstLine="480" w:firstLineChars="200"/>
        <w:jc w:val="left"/>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4、</w:t>
      </w:r>
      <w:bookmarkStart w:id="0" w:name="_Toc247513970"/>
      <w:bookmarkEnd w:id="0"/>
      <w:bookmarkStart w:id="1" w:name="_Toc300834967"/>
      <w:bookmarkEnd w:id="1"/>
      <w:bookmarkStart w:id="2" w:name="_Toc152045546"/>
      <w:bookmarkEnd w:id="2"/>
      <w:bookmarkStart w:id="3" w:name="_Toc152042322"/>
      <w:bookmarkEnd w:id="3"/>
      <w:bookmarkStart w:id="4" w:name="_Toc144974514"/>
      <w:bookmarkEnd w:id="4"/>
      <w:bookmarkStart w:id="5" w:name="_Toc247527571"/>
      <w:bookmarkEnd w:id="5"/>
      <w:r>
        <w:rPr>
          <w:rFonts w:hint="eastAsia" w:ascii="楷体" w:hAnsi="楷体" w:eastAsia="楷体" w:cs="楷体"/>
          <w:b/>
          <w:bCs/>
          <w:color w:val="auto"/>
          <w:sz w:val="24"/>
          <w:highlight w:val="none"/>
          <w:lang w:eastAsia="zh-CN"/>
        </w:rPr>
        <w:t>招标控制</w:t>
      </w:r>
      <w:r>
        <w:rPr>
          <w:rFonts w:hint="eastAsia" w:ascii="楷体" w:hAnsi="楷体" w:eastAsia="楷体" w:cs="楷体"/>
          <w:b/>
          <w:bCs/>
          <w:color w:val="auto"/>
          <w:sz w:val="24"/>
          <w:highlight w:val="none"/>
        </w:rPr>
        <w:t>价</w:t>
      </w:r>
    </w:p>
    <w:p>
      <w:pPr>
        <w:keepNext w:val="0"/>
        <w:keepLines w:val="0"/>
        <w:pageBreakBefore w:val="0"/>
        <w:widowControl w:val="0"/>
        <w:wordWrap/>
        <w:topLinePunct w:val="0"/>
        <w:bidi w:val="0"/>
        <w:snapToGrid/>
        <w:spacing w:line="44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b/>
          <w:color w:val="auto"/>
          <w:sz w:val="24"/>
          <w:highlight w:val="none"/>
        </w:rPr>
        <w:t>4.1本工程</w:t>
      </w:r>
      <w:r>
        <w:rPr>
          <w:rFonts w:hint="eastAsia" w:ascii="楷体" w:hAnsi="楷体" w:eastAsia="楷体" w:cs="楷体"/>
          <w:b/>
          <w:color w:val="auto"/>
          <w:sz w:val="24"/>
          <w:highlight w:val="none"/>
          <w:lang w:eastAsia="zh-CN"/>
        </w:rPr>
        <w:t>招标控制</w:t>
      </w:r>
      <w:r>
        <w:rPr>
          <w:rFonts w:hint="eastAsia" w:ascii="楷体" w:hAnsi="楷体" w:eastAsia="楷体" w:cs="楷体"/>
          <w:b/>
          <w:color w:val="auto"/>
          <w:sz w:val="24"/>
          <w:highlight w:val="none"/>
        </w:rPr>
        <w:t>价为人民币</w:t>
      </w:r>
      <w:r>
        <w:rPr>
          <w:rFonts w:hint="eastAsia" w:ascii="楷体" w:hAnsi="楷体" w:eastAsia="楷体" w:cs="楷体"/>
          <w:b/>
          <w:bCs/>
          <w:color w:val="auto"/>
          <w:sz w:val="24"/>
          <w:highlight w:val="none"/>
          <w:u w:val="single"/>
          <w:lang w:val="en-US" w:eastAsia="zh-CN"/>
        </w:rPr>
        <w:t>36.5万元</w:t>
      </w:r>
      <w:r>
        <w:rPr>
          <w:rFonts w:hint="eastAsia" w:ascii="楷体" w:hAnsi="楷体" w:eastAsia="楷体" w:cs="楷体"/>
          <w:color w:val="auto"/>
          <w:sz w:val="24"/>
          <w:highlight w:val="none"/>
        </w:rPr>
        <w:t>。投标人的投标报价不得超过</w:t>
      </w:r>
      <w:r>
        <w:rPr>
          <w:rFonts w:hint="eastAsia" w:ascii="楷体" w:hAnsi="楷体" w:eastAsia="楷体" w:cs="楷体"/>
          <w:color w:val="auto"/>
          <w:sz w:val="24"/>
          <w:highlight w:val="none"/>
          <w:lang w:eastAsia="zh-CN"/>
        </w:rPr>
        <w:t>招标控制价价</w:t>
      </w:r>
      <w:r>
        <w:rPr>
          <w:rFonts w:hint="eastAsia" w:ascii="楷体" w:hAnsi="楷体" w:eastAsia="楷体" w:cs="楷体"/>
          <w:color w:val="auto"/>
          <w:sz w:val="24"/>
          <w:highlight w:val="none"/>
        </w:rPr>
        <w:t>，否则作为无效标书处理。</w:t>
      </w:r>
    </w:p>
    <w:p>
      <w:pPr>
        <w:keepNext w:val="0"/>
        <w:keepLines w:val="0"/>
        <w:pageBreakBefore w:val="0"/>
        <w:widowControl w:val="0"/>
        <w:wordWrap/>
        <w:topLinePunct w:val="0"/>
        <w:bidi w:val="0"/>
        <w:snapToGrid/>
        <w:spacing w:line="440" w:lineRule="exact"/>
        <w:ind w:firstLine="420"/>
        <w:textAlignment w:val="auto"/>
        <w:rPr>
          <w:rFonts w:hint="eastAsia" w:ascii="楷体" w:hAnsi="楷体" w:eastAsia="楷体" w:cs="楷体"/>
          <w:color w:val="auto"/>
          <w:kern w:val="1"/>
          <w:sz w:val="24"/>
          <w:highlight w:val="none"/>
          <w:lang w:eastAsia="zh-CN"/>
        </w:rPr>
      </w:pPr>
      <w:r>
        <w:rPr>
          <w:rFonts w:hint="eastAsia" w:ascii="楷体" w:hAnsi="楷体" w:eastAsia="楷体" w:cs="楷体"/>
          <w:color w:val="auto"/>
          <w:kern w:val="1"/>
          <w:sz w:val="24"/>
          <w:highlight w:val="none"/>
        </w:rPr>
        <w:t>4.2</w:t>
      </w:r>
      <w:r>
        <w:rPr>
          <w:rFonts w:hint="eastAsia" w:ascii="楷体" w:hAnsi="楷体" w:eastAsia="楷体" w:cs="楷体"/>
          <w:color w:val="auto"/>
          <w:kern w:val="1"/>
          <w:sz w:val="24"/>
          <w:highlight w:val="none"/>
          <w:lang w:eastAsia="zh-CN"/>
        </w:rPr>
        <w:t>招标控制</w:t>
      </w:r>
      <w:r>
        <w:rPr>
          <w:rFonts w:hint="eastAsia" w:ascii="楷体" w:hAnsi="楷体" w:eastAsia="楷体" w:cs="楷体"/>
          <w:color w:val="auto"/>
          <w:kern w:val="1"/>
          <w:sz w:val="24"/>
          <w:highlight w:val="none"/>
        </w:rPr>
        <w:t>价确定的依据：本项目按照施工图纸</w:t>
      </w:r>
      <w:r>
        <w:rPr>
          <w:rFonts w:hint="eastAsia" w:ascii="楷体" w:hAnsi="楷体" w:eastAsia="楷体" w:cs="楷体"/>
          <w:color w:val="auto"/>
          <w:kern w:val="1"/>
          <w:sz w:val="24"/>
          <w:highlight w:val="none"/>
          <w:lang w:eastAsia="zh-CN"/>
        </w:rPr>
        <w:t>，施工现场情况，</w:t>
      </w:r>
      <w:r>
        <w:rPr>
          <w:rFonts w:hint="eastAsia" w:ascii="楷体" w:hAnsi="楷体" w:eastAsia="楷体" w:cs="楷体"/>
          <w:color w:val="auto"/>
          <w:kern w:val="1"/>
          <w:sz w:val="24"/>
          <w:highlight w:val="none"/>
        </w:rPr>
        <w:t>招标文件（含工程量清单）</w:t>
      </w:r>
      <w:r>
        <w:rPr>
          <w:rFonts w:hint="eastAsia" w:ascii="楷体" w:hAnsi="楷体" w:eastAsia="楷体" w:cs="楷体"/>
          <w:color w:val="auto"/>
          <w:kern w:val="1"/>
          <w:sz w:val="24"/>
          <w:highlight w:val="none"/>
          <w:lang w:eastAsia="zh-CN"/>
        </w:rPr>
        <w:t>，参照</w:t>
      </w:r>
      <w:r>
        <w:rPr>
          <w:rFonts w:hint="eastAsia" w:ascii="楷体" w:hAnsi="楷体" w:eastAsia="楷体" w:cs="楷体"/>
          <w:color w:val="auto"/>
          <w:kern w:val="1"/>
          <w:sz w:val="24"/>
          <w:highlight w:val="none"/>
        </w:rPr>
        <w:t>《建设工程工程量清单计价规范》（GB50500-2013）、《房屋建筑与装饰工程工程量计算规范》（GB50854-2013）、《通用安装工程工程量计算规范》（GB50856-2013））、《市政工程工程量计算规范》（GB50857-2013）（以下简称《工程量计算规范》）、《江苏省建筑与装饰工程计价定额》（2014版）、《江苏省市政工程计价定额》（2014版）、《江苏省安装工程计价定额》（2014版）（以下简称《计价定额》）、</w:t>
      </w:r>
      <w:r>
        <w:rPr>
          <w:rFonts w:hint="eastAsia" w:ascii="楷体" w:hAnsi="楷体" w:eastAsia="楷体" w:cs="楷体"/>
          <w:color w:val="auto"/>
          <w:sz w:val="24"/>
          <w:highlight w:val="none"/>
        </w:rPr>
        <w:t>《江苏省建设工程费用定额》（以下简称《费用定额》）（2014年）以及关于营改增后工程计价依据调整内容（苏建价〔2016〕154号）及苏建函价（2019）178号、江苏省住房和城乡建设厅[2018]第24号公告、江苏省住房和城乡建设厅</w:t>
      </w:r>
      <w:r>
        <w:rPr>
          <w:rFonts w:hint="eastAsia" w:ascii="楷体" w:hAnsi="楷体" w:eastAsia="楷体" w:cs="楷体"/>
          <w:bCs/>
          <w:color w:val="auto"/>
          <w:sz w:val="24"/>
          <w:highlight w:val="none"/>
        </w:rPr>
        <w:t>〔2019〕</w:t>
      </w:r>
      <w:r>
        <w:rPr>
          <w:rFonts w:hint="eastAsia" w:ascii="楷体" w:hAnsi="楷体" w:eastAsia="楷体" w:cs="楷体"/>
          <w:color w:val="auto"/>
          <w:sz w:val="24"/>
          <w:highlight w:val="none"/>
        </w:rPr>
        <w:t>第19号公告和现行工程造价有关文件规定、2020年</w:t>
      </w:r>
      <w:r>
        <w:rPr>
          <w:rFonts w:hint="eastAsia" w:ascii="楷体" w:hAnsi="楷体" w:eastAsia="楷体" w:cs="楷体"/>
          <w:color w:val="0000FF"/>
          <w:sz w:val="24"/>
          <w:highlight w:val="none"/>
        </w:rPr>
        <w:t>第</w:t>
      </w:r>
      <w:r>
        <w:rPr>
          <w:rFonts w:hint="eastAsia" w:ascii="楷体" w:hAnsi="楷体" w:eastAsia="楷体" w:cs="楷体"/>
          <w:color w:val="0000FF"/>
          <w:sz w:val="24"/>
          <w:highlight w:val="none"/>
          <w:lang w:val="en-US" w:eastAsia="zh-CN"/>
        </w:rPr>
        <w:t>10</w:t>
      </w:r>
      <w:r>
        <w:rPr>
          <w:rFonts w:hint="eastAsia" w:ascii="楷体" w:hAnsi="楷体" w:eastAsia="楷体" w:cs="楷体"/>
          <w:color w:val="0000FF"/>
          <w:sz w:val="24"/>
          <w:highlight w:val="none"/>
        </w:rPr>
        <w:t>期</w:t>
      </w:r>
      <w:r>
        <w:rPr>
          <w:rFonts w:hint="eastAsia" w:ascii="楷体" w:hAnsi="楷体" w:eastAsia="楷体" w:cs="楷体"/>
          <w:color w:val="auto"/>
          <w:kern w:val="1"/>
          <w:sz w:val="24"/>
          <w:highlight w:val="none"/>
        </w:rPr>
        <w:t>《盐城工程造价》等相关计价文件的规定，计算出预算价。</w:t>
      </w:r>
      <w:r>
        <w:rPr>
          <w:rFonts w:hint="eastAsia" w:ascii="楷体" w:hAnsi="楷体" w:eastAsia="楷体" w:cs="楷体"/>
          <w:color w:val="auto"/>
          <w:kern w:val="1"/>
          <w:sz w:val="24"/>
          <w:highlight w:val="none"/>
          <w:lang w:eastAsia="zh-CN"/>
        </w:rPr>
        <w:t>预算价即招标控制价。</w:t>
      </w:r>
    </w:p>
    <w:p>
      <w:pPr>
        <w:keepNext w:val="0"/>
        <w:keepLines w:val="0"/>
        <w:pageBreakBefore w:val="0"/>
        <w:widowControl w:val="0"/>
        <w:wordWrap/>
        <w:topLinePunct w:val="0"/>
        <w:bidi w:val="0"/>
        <w:snapToGrid/>
        <w:spacing w:line="440" w:lineRule="exact"/>
        <w:ind w:left="-1"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招标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pPr>
        <w:spacing w:line="440" w:lineRule="exact"/>
        <w:rPr>
          <w:rFonts w:ascii="楷体" w:hAnsi="楷体" w:eastAsia="楷体" w:cs="楷体"/>
          <w:b/>
          <w:sz w:val="44"/>
          <w:szCs w:val="44"/>
        </w:rPr>
      </w:pPr>
      <w:r>
        <w:rPr>
          <w:rFonts w:hint="eastAsia" w:ascii="楷体" w:hAnsi="楷体" w:eastAsia="楷体" w:cs="楷体"/>
          <w:b/>
          <w:sz w:val="44"/>
          <w:szCs w:val="44"/>
        </w:rPr>
        <w:br w:type="page"/>
      </w:r>
    </w:p>
    <w:p>
      <w:pPr>
        <w:spacing w:line="500" w:lineRule="exact"/>
        <w:jc w:val="center"/>
        <w:rPr>
          <w:rFonts w:ascii="楷体" w:hAnsi="楷体" w:eastAsia="楷体" w:cs="楷体"/>
          <w:b/>
          <w:bCs/>
          <w:sz w:val="44"/>
        </w:rPr>
      </w:pPr>
      <w:r>
        <w:rPr>
          <w:rFonts w:hint="eastAsia" w:ascii="楷体" w:hAnsi="楷体" w:eastAsia="楷体" w:cs="楷体"/>
          <w:b/>
          <w:sz w:val="44"/>
          <w:szCs w:val="44"/>
        </w:rPr>
        <w:t>第四部分  投标文件编制方法及要求</w:t>
      </w:r>
    </w:p>
    <w:p>
      <w:pPr>
        <w:spacing w:line="500" w:lineRule="exact"/>
        <w:ind w:firstLine="480" w:firstLineChars="200"/>
        <w:rPr>
          <w:rFonts w:ascii="楷体" w:hAnsi="楷体" w:eastAsia="楷体" w:cs="楷体"/>
          <w:b/>
          <w:bCs/>
          <w:sz w:val="24"/>
        </w:rPr>
      </w:pPr>
    </w:p>
    <w:p>
      <w:pPr>
        <w:spacing w:line="500" w:lineRule="exact"/>
        <w:ind w:firstLine="480" w:firstLineChars="200"/>
        <w:rPr>
          <w:rFonts w:ascii="楷体" w:hAnsi="楷体" w:eastAsia="楷体" w:cs="楷体"/>
          <w:b/>
          <w:bCs/>
          <w:sz w:val="24"/>
        </w:rPr>
      </w:pPr>
      <w:r>
        <w:rPr>
          <w:rFonts w:hint="eastAsia" w:ascii="楷体" w:hAnsi="楷体" w:eastAsia="楷体" w:cs="楷体"/>
          <w:b/>
          <w:bCs/>
          <w:sz w:val="24"/>
        </w:rPr>
        <w:t>1、投标报价文件的编制依据及要求</w:t>
      </w:r>
    </w:p>
    <w:p>
      <w:pPr>
        <w:spacing w:line="500" w:lineRule="exact"/>
        <w:ind w:left="-1" w:firstLine="480" w:firstLineChars="200"/>
        <w:outlineLvl w:val="0"/>
        <w:rPr>
          <w:rFonts w:ascii="楷体" w:hAnsi="楷体" w:eastAsia="楷体" w:cs="楷体"/>
          <w:b/>
          <w:sz w:val="24"/>
        </w:rPr>
      </w:pPr>
      <w:r>
        <w:rPr>
          <w:rFonts w:hint="eastAsia" w:ascii="楷体" w:hAnsi="楷体" w:eastAsia="楷体" w:cs="楷体"/>
          <w:b/>
          <w:sz w:val="24"/>
        </w:rPr>
        <w:t>1.1投标报价文件编制的依据：</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1.1.1招标人发出的招标文件、工程量清单及其编制说明、答疑文件、补充通知；</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1.1.2招标人提供的图纸和设定的招标控制价；</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1.1.3《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cs="楷体"/>
          <w:sz w:val="24"/>
          <w:u w:val="single"/>
        </w:rPr>
        <w:t>市政</w:t>
      </w:r>
      <w:r>
        <w:rPr>
          <w:rFonts w:hint="eastAsia" w:ascii="楷体" w:hAnsi="楷体" w:eastAsia="楷体" w:cs="楷体"/>
          <w:sz w:val="24"/>
        </w:rPr>
        <w:t>工程计价定额》（2014版）……（以下简称《计价定额》）、《江苏省建设工程费用定额》（2014年）及</w:t>
      </w:r>
      <w:r>
        <w:rPr>
          <w:rFonts w:hint="eastAsia" w:ascii="楷体" w:hAnsi="楷体" w:eastAsia="楷体" w:cs="楷体"/>
          <w:b/>
          <w:sz w:val="24"/>
        </w:rPr>
        <w:t>营改增后调整内容</w:t>
      </w:r>
      <w:r>
        <w:rPr>
          <w:rFonts w:hint="eastAsia" w:ascii="楷体" w:hAnsi="楷体" w:eastAsia="楷体" w:cs="楷体"/>
          <w:sz w:val="24"/>
        </w:rPr>
        <w:t>（以下简称《费用定额》）、《盐城工程造价》、相关计价文件等。</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1.1.4省、市现行其他相关配套文件；　　　</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1.1.5与建设项目相关的标准、施工和验收规范等技术资料；</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1.1.6 施工现场情况、工程特点及投标人拟采用的施工组织设计和施工技术方案；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1.1.7 投标人的企业定额及投标期间的各类材料市场价格信息或工程造价管理机构发布的工程造价信息；</w:t>
      </w:r>
    </w:p>
    <w:p>
      <w:pPr>
        <w:spacing w:line="500" w:lineRule="exact"/>
        <w:ind w:left="-1" w:firstLine="480" w:firstLineChars="200"/>
        <w:outlineLvl w:val="0"/>
        <w:rPr>
          <w:rFonts w:ascii="楷体" w:hAnsi="楷体" w:eastAsia="楷体" w:cs="楷体"/>
          <w:b/>
          <w:sz w:val="24"/>
        </w:rPr>
      </w:pPr>
      <w:r>
        <w:rPr>
          <w:rFonts w:hint="eastAsia" w:ascii="楷体" w:hAnsi="楷体" w:eastAsia="楷体" w:cs="楷体"/>
          <w:b/>
          <w:sz w:val="24"/>
        </w:rPr>
        <w:t>1.2投标报价文件编制的要求：</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1.2.1投标报价的计价成果文件必须采用招标文件提供的格式（详见附件），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建筑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1.2.2投标人必须按招标人提供的工程量清单填报价格。投标人填写的投标报价的计价成果文件中的序号、项目名称、项目特征、计量单位、工程量中的内容必须与招标人提供的一致。如果投标人认为招标人提供的工程量清单的内容有误或遗漏，只能通过答疑的方式由招标人统一修改更正。</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1.2.3投标人必须按现行有关规定的费率计取现场安全文明施工措施费基本费、</w:t>
      </w:r>
      <w:r>
        <w:rPr>
          <w:rFonts w:hint="eastAsia" w:ascii="楷体" w:hAnsi="楷体" w:eastAsia="楷体" w:cs="楷体"/>
          <w:color w:val="auto"/>
          <w:sz w:val="24"/>
          <w:highlight w:val="none"/>
          <w:lang w:eastAsia="zh-CN"/>
        </w:rPr>
        <w:t>标化增加费及扬尘污染防治增加费</w:t>
      </w:r>
      <w:r>
        <w:rPr>
          <w:rFonts w:hint="eastAsia" w:ascii="楷体" w:hAnsi="楷体" w:eastAsia="楷体" w:cs="楷体"/>
          <w:color w:val="auto"/>
          <w:sz w:val="24"/>
          <w:highlight w:val="none"/>
        </w:rPr>
        <w:t>、为完成本项目发生的所有措施项目费、管理费、利润、规费（包括环境保护税、社会保险费、住房公积金）和税金，上述费用综合分摊含在全费用综合单价中。</w:t>
      </w:r>
    </w:p>
    <w:p>
      <w:pPr>
        <w:spacing w:line="500" w:lineRule="exact"/>
        <w:ind w:left="-1"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1.2.4  投标人在投标报价时未填报综合单价的工程量清单项目，招标人视为已包括在工程量清单计价的其他单价中，无论何种原因使该清单项目发生工程量的变更，结算时均不作调整。</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1.2.5  投标人在投标报价时，不得进行投标总价或合价的优惠（或降价、让利）或隐性提价；综合单价与工程量的乘积应与合价一致。</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1.2.6 投标人应充分考虑施工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spacing w:line="500" w:lineRule="exact"/>
        <w:ind w:firstLine="480" w:firstLineChars="200"/>
        <w:rPr>
          <w:rFonts w:ascii="楷体" w:hAnsi="楷体" w:eastAsia="楷体" w:cs="楷体"/>
          <w:sz w:val="24"/>
        </w:rPr>
      </w:pPr>
      <w:r>
        <w:rPr>
          <w:rFonts w:hint="eastAsia" w:ascii="楷体" w:hAnsi="楷体" w:eastAsia="楷体" w:cs="楷体"/>
          <w:color w:val="auto"/>
          <w:sz w:val="24"/>
          <w:highlight w:val="none"/>
        </w:rPr>
        <w:t>1.2.7除计价规范另有规定外，投标文件使用的度量衡单位，均采用中华人民共和国法定计量单位，投标文件和与投标有关的所有文件均应使用中文，投标报价统一采用人民币作为计量单位。</w:t>
      </w:r>
      <w:r>
        <w:rPr>
          <w:rFonts w:hint="eastAsia" w:ascii="楷体" w:hAnsi="楷体" w:eastAsia="楷体" w:cs="楷体"/>
          <w:color w:val="000000" w:themeColor="text1"/>
          <w:sz w:val="24"/>
        </w:rPr>
        <w:t xml:space="preserve"> </w:t>
      </w:r>
    </w:p>
    <w:p>
      <w:pPr>
        <w:spacing w:line="500" w:lineRule="exact"/>
        <w:ind w:firstLine="480" w:firstLineChars="200"/>
        <w:rPr>
          <w:rFonts w:ascii="楷体" w:hAnsi="楷体" w:eastAsia="楷体" w:cs="楷体"/>
          <w:b/>
          <w:bCs/>
          <w:sz w:val="24"/>
        </w:rPr>
      </w:pPr>
      <w:r>
        <w:rPr>
          <w:rFonts w:hint="eastAsia" w:ascii="楷体" w:hAnsi="楷体" w:eastAsia="楷体" w:cs="楷体"/>
          <w:b/>
          <w:bCs/>
          <w:sz w:val="24"/>
        </w:rPr>
        <w:t>2、投标文件的编制方法及要求</w:t>
      </w:r>
    </w:p>
    <w:p>
      <w:pPr>
        <w:spacing w:line="480" w:lineRule="exact"/>
        <w:ind w:left="-1" w:firstLine="480" w:firstLineChars="200"/>
        <w:rPr>
          <w:rFonts w:ascii="楷体" w:hAnsi="楷体" w:eastAsia="楷体" w:cs="楷体"/>
          <w:b/>
          <w:sz w:val="24"/>
        </w:rPr>
      </w:pPr>
      <w:r>
        <w:rPr>
          <w:rFonts w:hint="eastAsia" w:ascii="楷体" w:hAnsi="楷体" w:eastAsia="楷体" w:cs="楷体"/>
          <w:b/>
          <w:sz w:val="24"/>
        </w:rPr>
        <w:t>2.1本次招标的投标文件共为</w:t>
      </w:r>
      <w:r>
        <w:rPr>
          <w:rFonts w:hint="eastAsia" w:ascii="楷体" w:hAnsi="楷体" w:eastAsia="楷体" w:cs="楷体"/>
          <w:b/>
          <w:sz w:val="24"/>
          <w:szCs w:val="30"/>
        </w:rPr>
        <w:t>一号标书1个</w:t>
      </w:r>
      <w:r>
        <w:rPr>
          <w:rFonts w:hint="eastAsia" w:ascii="楷体" w:hAnsi="楷体" w:eastAsia="楷体" w:cs="楷体"/>
          <w:b/>
          <w:sz w:val="24"/>
        </w:rPr>
        <w:t>标书，份数为正本1份、副本4份。</w:t>
      </w:r>
    </w:p>
    <w:p>
      <w:pPr>
        <w:spacing w:line="480" w:lineRule="exact"/>
        <w:ind w:left="-1" w:firstLine="480" w:firstLineChars="200"/>
        <w:rPr>
          <w:rFonts w:ascii="楷体" w:hAnsi="楷体" w:eastAsia="楷体" w:cs="楷体"/>
          <w:b/>
          <w:sz w:val="24"/>
        </w:rPr>
      </w:pPr>
      <w:r>
        <w:rPr>
          <w:rFonts w:hint="eastAsia" w:ascii="楷体" w:hAnsi="楷体" w:eastAsia="楷体" w:cs="楷体"/>
          <w:b/>
          <w:sz w:val="24"/>
        </w:rPr>
        <w:t>2.2 一号标书应包括的内容：</w:t>
      </w:r>
    </w:p>
    <w:p>
      <w:pPr>
        <w:spacing w:line="480" w:lineRule="exact"/>
        <w:ind w:left="-1" w:firstLine="480" w:firstLineChars="200"/>
        <w:rPr>
          <w:rFonts w:ascii="楷体" w:hAnsi="楷体" w:eastAsia="楷体" w:cs="楷体"/>
          <w:sz w:val="24"/>
        </w:rPr>
      </w:pPr>
      <w:r>
        <w:rPr>
          <w:rFonts w:hint="eastAsia" w:ascii="楷体" w:hAnsi="楷体" w:eastAsia="楷体" w:cs="楷体"/>
          <w:sz w:val="24"/>
        </w:rPr>
        <w:t>2.2.1 封面（样式见附件）。</w:t>
      </w:r>
    </w:p>
    <w:p>
      <w:pPr>
        <w:spacing w:line="480" w:lineRule="exact"/>
        <w:ind w:left="-1" w:firstLine="480" w:firstLineChars="200"/>
        <w:rPr>
          <w:rFonts w:ascii="楷体" w:hAnsi="楷体" w:eastAsia="楷体" w:cs="楷体"/>
          <w:sz w:val="24"/>
        </w:rPr>
      </w:pPr>
      <w:r>
        <w:rPr>
          <w:rFonts w:hint="eastAsia" w:ascii="楷体" w:hAnsi="楷体" w:eastAsia="楷体" w:cs="楷体"/>
          <w:sz w:val="24"/>
        </w:rPr>
        <w:t>2.2.2 投标承诺书；法定代表人投标的须提供法定代表人身份证明书（如委托代理人投标的须提供授权委托书）；诚信承诺书</w:t>
      </w:r>
      <w:r>
        <w:rPr>
          <w:rFonts w:hint="eastAsia" w:ascii="楷体" w:hAnsi="楷体" w:eastAsia="楷体" w:cs="楷体"/>
          <w:sz w:val="24"/>
          <w:szCs w:val="30"/>
        </w:rPr>
        <w:t>（格式见附件）</w:t>
      </w:r>
      <w:r>
        <w:rPr>
          <w:rFonts w:hint="eastAsia" w:ascii="楷体" w:hAnsi="楷体" w:eastAsia="楷体" w:cs="楷体"/>
          <w:sz w:val="24"/>
        </w:rPr>
        <w:t>。</w:t>
      </w:r>
    </w:p>
    <w:p>
      <w:pPr>
        <w:spacing w:line="480" w:lineRule="exact"/>
        <w:ind w:left="-1" w:firstLine="480" w:firstLineChars="200"/>
        <w:rPr>
          <w:rFonts w:ascii="楷体" w:hAnsi="楷体" w:eastAsia="楷体" w:cs="楷体"/>
          <w:sz w:val="24"/>
        </w:rPr>
      </w:pPr>
      <w:r>
        <w:rPr>
          <w:rFonts w:hint="eastAsia" w:ascii="楷体" w:hAnsi="楷体" w:eastAsia="楷体" w:cs="楷体"/>
          <w:sz w:val="24"/>
        </w:rPr>
        <w:t>2.2.3</w:t>
      </w:r>
      <w:r>
        <w:rPr>
          <w:rFonts w:hint="eastAsia" w:ascii="楷体" w:hAnsi="楷体" w:eastAsia="楷体" w:cs="楷体"/>
          <w:color w:val="auto"/>
          <w:sz w:val="24"/>
          <w:highlight w:val="none"/>
        </w:rPr>
        <w:t>工程量清单计价成果文件（投标报价明细表，格式见附件）</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rPr>
        <w:t>工程清单计价成果文件必须按照招标文件所提供的格式填入，其格式不得作任何改变。招标人提供的工程量清单中的</w:t>
      </w:r>
      <w:r>
        <w:rPr>
          <w:rFonts w:hint="eastAsia" w:ascii="楷体" w:hAnsi="楷体" w:eastAsia="楷体" w:cs="楷体"/>
          <w:color w:val="auto"/>
          <w:sz w:val="24"/>
          <w:highlight w:val="none"/>
          <w:lang w:eastAsia="zh-CN"/>
        </w:rPr>
        <w:t>序号、项目名称、项目特征、单位、数量</w:t>
      </w:r>
      <w:r>
        <w:rPr>
          <w:rFonts w:hint="eastAsia" w:ascii="楷体" w:hAnsi="楷体" w:eastAsia="楷体" w:cs="楷体"/>
          <w:color w:val="auto"/>
          <w:sz w:val="24"/>
          <w:highlight w:val="none"/>
        </w:rPr>
        <w:t>，投标人在投标报价时不得作任何更改变动，否则一切责任由投标单位自负。如果投标人认为清单内容有误或遗漏，只能通过答疑的方式由招标人统一修改更正</w:t>
      </w:r>
      <w:r>
        <w:rPr>
          <w:rFonts w:hint="eastAsia" w:ascii="楷体" w:hAnsi="楷体" w:eastAsia="楷体" w:cs="楷体"/>
          <w:sz w:val="24"/>
        </w:rPr>
        <w:t>。</w:t>
      </w:r>
    </w:p>
    <w:p>
      <w:pPr>
        <w:tabs>
          <w:tab w:val="left" w:pos="6161"/>
        </w:tabs>
        <w:spacing w:line="500" w:lineRule="exact"/>
        <w:ind w:firstLine="480" w:firstLineChars="200"/>
        <w:rPr>
          <w:rFonts w:ascii="楷体" w:hAnsi="楷体" w:eastAsia="楷体" w:cs="楷体"/>
          <w:sz w:val="24"/>
        </w:rPr>
      </w:pPr>
      <w:r>
        <w:rPr>
          <w:rFonts w:hint="eastAsia" w:ascii="楷体" w:hAnsi="楷体" w:eastAsia="楷体" w:cs="楷体"/>
          <w:sz w:val="24"/>
        </w:rPr>
        <w:t>2.2.4符合招标文件要求的有效的投标人施工资质证书、安全生产许可证、营业执照、项目负责人建造师注册证书、项目负责人安全生产考核合格证书（B类）的原件及复印件。注：能有效识别二维码的复印件加盖证书持有单位公章和能有效识别二维码的电子证书加盖证书持有单位公章可视为原件。</w:t>
      </w:r>
      <w:r>
        <w:rPr>
          <w:rFonts w:hint="eastAsia" w:ascii="楷体" w:hAnsi="楷体" w:eastAsia="楷体" w:cs="楷体"/>
          <w:sz w:val="24"/>
        </w:rPr>
        <w:tab/>
      </w:r>
    </w:p>
    <w:p>
      <w:pPr>
        <w:spacing w:line="500" w:lineRule="exact"/>
        <w:ind w:firstLine="480" w:firstLineChars="200"/>
        <w:rPr>
          <w:rFonts w:ascii="楷体" w:hAnsi="楷体" w:eastAsia="楷体" w:cs="楷体"/>
          <w:b/>
          <w:sz w:val="24"/>
        </w:rPr>
      </w:pPr>
      <w:r>
        <w:rPr>
          <w:rFonts w:hint="eastAsia" w:ascii="楷体" w:hAnsi="楷体" w:eastAsia="楷体" w:cs="楷体"/>
          <w:b/>
          <w:sz w:val="24"/>
        </w:rPr>
        <w:t>注：以上2.2.1～2.2.4项材料装订成册,如有证书原件无需装订直接放入封袋中。如投标人投标文件中正副本不全，将不作为中标候选人。</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评审过程中对投标人所提供的资料要求以评标办法及上述一号标书组成规定为准，其他部分如有涉及，一律不作为评审依据。</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2.4投标文件编制的其他要求：</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2.4.1招标文件提供的表式投标人应使用，但表式可以按同样格式拓展。</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2.4.2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0" w:firstLineChars="200"/>
        <w:outlineLvl w:val="0"/>
        <w:rPr>
          <w:rFonts w:ascii="楷体" w:hAnsi="楷体" w:eastAsia="楷体" w:cs="楷体"/>
          <w:b/>
          <w:bCs/>
          <w:sz w:val="24"/>
        </w:rPr>
      </w:pPr>
      <w:r>
        <w:rPr>
          <w:rFonts w:hint="eastAsia" w:ascii="楷体" w:hAnsi="楷体" w:eastAsia="楷体" w:cs="楷体"/>
          <w:b/>
          <w:bCs/>
          <w:sz w:val="24"/>
        </w:rPr>
        <w:t>3、投标有效期</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3.1本招标项目投标有效期见第一部分投标须知。</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 xml:space="preserve">3.2在投标有效期内，投标人不得要求撤销或修改其投标文件。 </w:t>
      </w:r>
      <w:r>
        <w:rPr>
          <w:rFonts w:hint="eastAsia" w:ascii="楷体" w:hAnsi="楷体" w:eastAsia="楷体" w:cs="楷体"/>
          <w:sz w:val="24"/>
        </w:rPr>
        <w:cr/>
      </w:r>
      <w:r>
        <w:rPr>
          <w:rFonts w:hint="eastAsia" w:ascii="楷体" w:hAnsi="楷体" w:eastAsia="楷体" w:cs="楷体"/>
          <w:sz w:val="24"/>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4、投标文件的密封与标志</w:t>
      </w:r>
    </w:p>
    <w:p>
      <w:pPr>
        <w:spacing w:line="500" w:lineRule="exact"/>
        <w:ind w:firstLine="480" w:firstLineChars="200"/>
        <w:rPr>
          <w:rFonts w:ascii="楷体" w:hAnsi="楷体" w:eastAsia="楷体" w:cs="楷体"/>
          <w:sz w:val="24"/>
          <w:u w:val="single"/>
        </w:rPr>
      </w:pPr>
      <w:r>
        <w:rPr>
          <w:rFonts w:hint="eastAsia" w:ascii="楷体" w:hAnsi="楷体" w:eastAsia="楷体" w:cs="楷体"/>
          <w:sz w:val="24"/>
        </w:rPr>
        <w:t>4.1投标文件按招标文件和格式、样式要求装订、签署和盖章后应装入一号标书封袋，封袋大小根据需要自行制作，在每个封袋上正确标明工程名称、投标人名称、标书号。</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4.2所有投标文件装入封袋后都必须在封口处密封并加盖投标人公章。</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5、投标文件的递交</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5.1投标人必须在招标文件规定的投标文件递交截止时间前完成投标文件的递交。</w:t>
      </w:r>
    </w:p>
    <w:p>
      <w:pPr>
        <w:snapToGrid w:val="0"/>
        <w:spacing w:line="440" w:lineRule="exact"/>
        <w:ind w:firstLine="480" w:firstLineChars="200"/>
        <w:jc w:val="left"/>
        <w:rPr>
          <w:rFonts w:ascii="楷体" w:hAnsi="楷体" w:eastAsia="楷体" w:cs="楷体"/>
          <w:sz w:val="24"/>
        </w:rPr>
      </w:pPr>
      <w:r>
        <w:rPr>
          <w:rFonts w:hint="eastAsia" w:ascii="楷体" w:hAnsi="楷体" w:eastAsia="楷体" w:cs="楷体"/>
          <w:sz w:val="24"/>
        </w:rPr>
        <w:t>5.2投标人递交投标文件的地点：见投标须知前附表。</w:t>
      </w:r>
    </w:p>
    <w:p>
      <w:pPr>
        <w:pStyle w:val="9"/>
        <w:adjustRightInd w:val="0"/>
        <w:snapToGrid w:val="0"/>
        <w:spacing w:line="440" w:lineRule="exact"/>
        <w:ind w:firstLine="480" w:firstLineChars="200"/>
        <w:rPr>
          <w:rFonts w:ascii="楷体" w:hAnsi="楷体" w:eastAsia="楷体" w:cs="楷体"/>
          <w:b/>
          <w:sz w:val="24"/>
        </w:rPr>
      </w:pPr>
      <w:r>
        <w:rPr>
          <w:rFonts w:hint="eastAsia" w:ascii="楷体" w:hAnsi="楷体" w:eastAsia="楷体" w:cs="楷体"/>
          <w:b/>
          <w:sz w:val="24"/>
        </w:rPr>
        <w:t>6、投标文件的修改与撤回</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 xml:space="preserve">6.1在招标文件规定的投标截止时间之前，投标人可对所递交的投标文件进行修改或撤回，但必须以书面形式通知招标人。 </w:t>
      </w:r>
      <w:r>
        <w:rPr>
          <w:rFonts w:hint="eastAsia" w:ascii="楷体" w:hAnsi="楷体" w:eastAsia="楷体" w:cs="楷体"/>
          <w:sz w:val="24"/>
        </w:rPr>
        <w:cr/>
      </w:r>
      <w:r>
        <w:rPr>
          <w:rFonts w:hint="eastAsia" w:ascii="楷体" w:hAnsi="楷体" w:eastAsia="楷体" w:cs="楷体"/>
          <w:sz w:val="24"/>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6.3修改的内容为投标文件的组成部分。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7、投标费用</w:t>
      </w:r>
    </w:p>
    <w:p>
      <w:pPr>
        <w:spacing w:line="500" w:lineRule="exact"/>
        <w:ind w:firstLine="480" w:firstLineChars="200"/>
        <w:rPr>
          <w:rFonts w:ascii="楷体" w:hAnsi="楷体" w:eastAsia="楷体" w:cs="楷体"/>
          <w:sz w:val="24"/>
        </w:rPr>
      </w:pPr>
      <w:r>
        <w:rPr>
          <w:rFonts w:hint="eastAsia" w:ascii="楷体" w:hAnsi="楷体" w:eastAsia="楷体" w:cs="楷体"/>
          <w:sz w:val="24"/>
        </w:rPr>
        <w:t>投标人应承担其编制和递交投标文件所涉及的一切费用，无论投标结果如何，招标人对上述费用不负任何责任。</w:t>
      </w:r>
    </w:p>
    <w:p>
      <w:pPr>
        <w:spacing w:line="500" w:lineRule="exact"/>
        <w:rPr>
          <w:rFonts w:ascii="楷体" w:hAnsi="楷体" w:eastAsia="楷体" w:cs="楷体"/>
          <w:b/>
          <w:sz w:val="44"/>
          <w:szCs w:val="44"/>
        </w:rPr>
      </w:pPr>
      <w:r>
        <w:rPr>
          <w:rFonts w:hint="eastAsia" w:ascii="楷体" w:hAnsi="楷体" w:eastAsia="楷体" w:cs="楷体"/>
          <w:color w:val="auto"/>
          <w:sz w:val="24"/>
          <w:highlight w:val="none"/>
        </w:rPr>
        <w:t>本项目招标代理服务费（收费标准按计价格（2002）1980号文规定的标准×42%计取，如低于3000元的直接按3000元计取）</w:t>
      </w:r>
      <w:r>
        <w:rPr>
          <w:rFonts w:hint="eastAsia" w:ascii="楷体" w:hAnsi="楷体" w:eastAsia="楷体" w:cs="楷体"/>
          <w:color w:val="auto"/>
          <w:sz w:val="24"/>
          <w:highlight w:val="none"/>
          <w:lang w:eastAsia="zh-CN"/>
        </w:rPr>
        <w:t>和设计费（</w:t>
      </w:r>
      <w:r>
        <w:rPr>
          <w:rFonts w:hint="eastAsia" w:ascii="楷体" w:hAnsi="楷体" w:eastAsia="楷体" w:cs="楷体"/>
          <w:color w:val="auto"/>
          <w:sz w:val="24"/>
          <w:highlight w:val="none"/>
          <w:lang w:val="en-US" w:eastAsia="zh-CN"/>
        </w:rPr>
        <w:t>1.1万元</w:t>
      </w:r>
      <w:r>
        <w:rPr>
          <w:rFonts w:hint="eastAsia" w:ascii="楷体" w:hAnsi="楷体" w:eastAsia="楷体" w:cs="楷体"/>
          <w:color w:val="auto"/>
          <w:sz w:val="24"/>
          <w:highlight w:val="none"/>
          <w:lang w:eastAsia="zh-CN"/>
        </w:rPr>
        <w:t>）两项费用均</w:t>
      </w:r>
      <w:r>
        <w:rPr>
          <w:rFonts w:hint="eastAsia" w:ascii="楷体" w:hAnsi="楷体" w:eastAsia="楷体" w:cs="楷体"/>
          <w:color w:val="auto"/>
          <w:sz w:val="24"/>
          <w:highlight w:val="none"/>
        </w:rPr>
        <w:t>由中标人承担，各投标人在投标报价时须将</w:t>
      </w:r>
      <w:r>
        <w:rPr>
          <w:rFonts w:hint="eastAsia" w:ascii="楷体" w:hAnsi="楷体" w:eastAsia="楷体" w:cs="楷体"/>
          <w:color w:val="auto"/>
          <w:sz w:val="24"/>
          <w:highlight w:val="none"/>
          <w:lang w:eastAsia="zh-CN"/>
        </w:rPr>
        <w:t>上述两项</w:t>
      </w:r>
      <w:r>
        <w:rPr>
          <w:rFonts w:hint="eastAsia" w:ascii="楷体" w:hAnsi="楷体" w:eastAsia="楷体" w:cs="楷体"/>
          <w:color w:val="auto"/>
          <w:sz w:val="24"/>
          <w:highlight w:val="none"/>
        </w:rPr>
        <w:t>费用自行综合考虑分摊含进投标报价中，且不得单列，在开具中标通知书前一次性交纳。招标人不再承担上述费用。</w:t>
      </w:r>
    </w:p>
    <w:p>
      <w:pPr>
        <w:pStyle w:val="8"/>
        <w:rPr>
          <w:rFonts w:ascii="楷体" w:hAnsi="楷体" w:eastAsia="楷体" w:cs="楷体"/>
          <w:b/>
          <w:sz w:val="44"/>
          <w:szCs w:val="44"/>
        </w:rPr>
      </w:pPr>
    </w:p>
    <w:p>
      <w:pPr>
        <w:pStyle w:val="8"/>
        <w:rPr>
          <w:rFonts w:ascii="楷体" w:hAnsi="楷体" w:eastAsia="楷体" w:cs="楷体"/>
          <w:b/>
          <w:sz w:val="44"/>
          <w:szCs w:val="44"/>
        </w:rPr>
      </w:pPr>
    </w:p>
    <w:p>
      <w:pPr>
        <w:rPr>
          <w:rFonts w:ascii="楷体" w:hAnsi="楷体" w:eastAsia="楷体" w:cs="楷体"/>
          <w:b/>
          <w:sz w:val="44"/>
          <w:szCs w:val="44"/>
        </w:rPr>
      </w:pPr>
      <w:r>
        <w:rPr>
          <w:rFonts w:hint="eastAsia" w:ascii="楷体" w:hAnsi="楷体" w:eastAsia="楷体" w:cs="楷体"/>
          <w:b/>
          <w:sz w:val="44"/>
          <w:szCs w:val="44"/>
        </w:rPr>
        <w:br w:type="page"/>
      </w:r>
    </w:p>
    <w:p>
      <w:pPr>
        <w:widowControl/>
        <w:jc w:val="center"/>
        <w:rPr>
          <w:rFonts w:ascii="楷体" w:hAnsi="楷体" w:eastAsia="楷体" w:cs="楷体"/>
          <w:b/>
          <w:bCs/>
          <w:sz w:val="44"/>
        </w:rPr>
      </w:pPr>
      <w:r>
        <w:rPr>
          <w:rFonts w:hint="eastAsia" w:ascii="楷体" w:hAnsi="楷体" w:eastAsia="楷体" w:cs="楷体"/>
          <w:b/>
          <w:sz w:val="44"/>
          <w:szCs w:val="44"/>
        </w:rPr>
        <w:t>第五部分  开标 评标 定标</w:t>
      </w:r>
    </w:p>
    <w:p>
      <w:pPr>
        <w:spacing w:line="500" w:lineRule="exact"/>
        <w:ind w:left="-1" w:firstLine="480" w:firstLineChars="200"/>
        <w:rPr>
          <w:rFonts w:ascii="楷体" w:hAnsi="楷体" w:eastAsia="楷体" w:cs="楷体"/>
          <w:sz w:val="24"/>
        </w:rPr>
      </w:pPr>
    </w:p>
    <w:p>
      <w:pPr>
        <w:spacing w:line="500" w:lineRule="exact"/>
        <w:ind w:firstLine="480" w:firstLineChars="200"/>
        <w:rPr>
          <w:rFonts w:ascii="楷体" w:hAnsi="楷体" w:eastAsia="楷体" w:cs="楷体"/>
          <w:b/>
          <w:sz w:val="24"/>
        </w:rPr>
      </w:pPr>
      <w:r>
        <w:rPr>
          <w:rFonts w:hint="eastAsia" w:ascii="楷体" w:hAnsi="楷体" w:eastAsia="楷体" w:cs="楷体"/>
          <w:b/>
          <w:sz w:val="24"/>
        </w:rPr>
        <w:t>1、评标定标办法和评标规则</w:t>
      </w:r>
    </w:p>
    <w:p>
      <w:pPr>
        <w:spacing w:line="500" w:lineRule="exact"/>
        <w:ind w:firstLine="480" w:firstLineChars="200"/>
        <w:rPr>
          <w:rFonts w:ascii="楷体" w:hAnsi="楷体" w:eastAsia="楷体" w:cs="楷体"/>
          <w:b/>
          <w:sz w:val="24"/>
        </w:rPr>
      </w:pPr>
      <w:r>
        <w:rPr>
          <w:rFonts w:hint="eastAsia" w:ascii="楷体" w:hAnsi="楷体" w:eastAsia="楷体" w:cs="楷体"/>
          <w:sz w:val="24"/>
        </w:rPr>
        <w:t>本项目评标办法采用</w:t>
      </w:r>
      <w:r>
        <w:rPr>
          <w:rFonts w:hint="eastAsia" w:ascii="楷体" w:hAnsi="楷体" w:eastAsia="楷体" w:cs="楷体"/>
          <w:sz w:val="24"/>
          <w:u w:val="single"/>
        </w:rPr>
        <w:t>盐城ABCD合成法</w:t>
      </w:r>
      <w:r>
        <w:rPr>
          <w:rFonts w:hint="eastAsia" w:ascii="楷体" w:hAnsi="楷体" w:eastAsia="楷体" w:cs="楷体"/>
          <w:sz w:val="24"/>
        </w:rPr>
        <w:t>，评标委员会按评标办法推荐有排序的中标候选人，由招标人依照国家有关法律、法规及定标办法确定中标人，具体评标定标办法及评标规则详见第七部分。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2、开标、评标、定标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2.1开标按投标须知前附表规定的时间、地点举行。</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0" w:firstLineChars="200"/>
        <w:rPr>
          <w:rFonts w:ascii="楷体" w:hAnsi="楷体" w:eastAsia="楷体" w:cs="楷体"/>
          <w:b/>
          <w:sz w:val="24"/>
        </w:rPr>
      </w:pPr>
      <w:r>
        <w:rPr>
          <w:rFonts w:hint="eastAsia" w:ascii="楷体" w:hAnsi="楷体" w:eastAsia="楷体" w:cs="楷体"/>
          <w:b/>
          <w:sz w:val="24"/>
        </w:rPr>
        <w:t>投标人对开标内容有异议的，应当在开标现场提出，否则视同认可。</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2.2评标由招标人依法组建的评标委员会负责。评标委员会应当按照招标文件确定的评标标准和方法，对投标文件进行评审和比较，并根据评标办法约定的数量推荐标明顺序的中标候选人。</w:t>
      </w:r>
    </w:p>
    <w:p>
      <w:pPr>
        <w:spacing w:line="440" w:lineRule="exact"/>
        <w:ind w:firstLine="480" w:firstLineChars="200"/>
        <w:rPr>
          <w:rFonts w:ascii="楷体" w:hAnsi="楷体" w:eastAsia="楷体" w:cs="楷体"/>
          <w:sz w:val="24"/>
        </w:rPr>
      </w:pPr>
      <w:r>
        <w:rPr>
          <w:rFonts w:hint="eastAsia" w:ascii="楷体" w:hAnsi="楷体" w:eastAsia="楷体" w:cs="楷体"/>
          <w:sz w:val="24"/>
        </w:rPr>
        <w:t>2.3招标人根据评标委员会提出的书面评标报告和推荐的中标候选人依法确定中标人。</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3、评标定标办法</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详见第七部分。</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4、投标文件有下列情况之一的，属于重大偏差，视为未能对招标文件作出实质性响应，作为无效投标予以否决：</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4.1投标文件中的投标函未加盖投标人的公章；</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4.2投标文件中的投标函未加盖企业法定代表人（或企业法定代表人委托代理人）印章（或签字）的；</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4.3投标函加盖企业法定代表人委托代理人印章（或签字），企业法定代表人委托代理人没有合法、有效的委托书（原件）的；</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4.4投标人资质条件不符合国家有关规定，或者不满足招标文件规定的资格条件；</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4.5投标报价低于工程成本或者高于招标文件设定的招标控制价的；</w:t>
      </w:r>
    </w:p>
    <w:p>
      <w:pPr>
        <w:spacing w:line="500" w:lineRule="exact"/>
        <w:rPr>
          <w:rFonts w:ascii="楷体" w:hAnsi="楷体" w:eastAsia="楷体" w:cs="楷体"/>
          <w:vanish/>
          <w:sz w:val="24"/>
        </w:rPr>
      </w:pPr>
      <w:r>
        <w:rPr>
          <w:rFonts w:hint="eastAsia" w:ascii="楷体" w:hAnsi="楷体" w:eastAsia="楷体" w:cs="楷体"/>
          <w:vanish/>
          <w:sz w:val="24"/>
        </w:rPr>
        <w:t>情况除外于成本或者高于招标文件设定的最高投标限价的）绝其投标）</w:t>
      </w:r>
    </w:p>
    <w:p>
      <w:pPr>
        <w:spacing w:line="500" w:lineRule="exact"/>
        <w:ind w:firstLine="480"/>
        <w:rPr>
          <w:rFonts w:ascii="楷体" w:hAnsi="楷体" w:eastAsia="楷体" w:cs="楷体"/>
          <w:sz w:val="24"/>
        </w:rPr>
      </w:pPr>
      <w:r>
        <w:rPr>
          <w:rFonts w:hint="eastAsia" w:ascii="楷体" w:hAnsi="楷体" w:eastAsia="楷体" w:cs="楷体"/>
          <w:sz w:val="24"/>
        </w:rPr>
        <w:t>4.6同一投标人提交两个及以上不同的投标文件或者投标报价，但招标文件规定提交备选投标的除外；</w:t>
      </w:r>
    </w:p>
    <w:p>
      <w:pPr>
        <w:spacing w:line="500" w:lineRule="exact"/>
        <w:ind w:firstLine="480" w:firstLineChars="200"/>
        <w:rPr>
          <w:rFonts w:ascii="楷体" w:hAnsi="楷体" w:eastAsia="楷体" w:cs="楷体"/>
          <w:sz w:val="24"/>
        </w:rPr>
      </w:pPr>
      <w:r>
        <w:rPr>
          <w:rFonts w:hint="eastAsia" w:ascii="楷体" w:hAnsi="楷体" w:eastAsia="楷体" w:cs="楷体"/>
          <w:sz w:val="24"/>
        </w:rPr>
        <w:t>4.7投标文件中已标价工程量清单与招标文件规定的暂估价、暂列金额及甲供材料价格不一致的；</w:t>
      </w:r>
    </w:p>
    <w:p>
      <w:pPr>
        <w:spacing w:line="500" w:lineRule="exact"/>
        <w:ind w:firstLine="480" w:firstLineChars="200"/>
        <w:rPr>
          <w:rFonts w:ascii="楷体" w:hAnsi="楷体" w:eastAsia="楷体" w:cs="楷体"/>
          <w:sz w:val="24"/>
        </w:rPr>
      </w:pPr>
      <w:r>
        <w:rPr>
          <w:rFonts w:hint="eastAsia" w:ascii="楷体" w:hAnsi="楷体" w:eastAsia="楷体" w:cs="楷体"/>
          <w:sz w:val="24"/>
        </w:rPr>
        <w:t>4.8投标文件中已标价工程量清单与招标文件明确列出的不可竞争费用项目或费率或计算基础不一致的；</w:t>
      </w:r>
    </w:p>
    <w:p>
      <w:pPr>
        <w:spacing w:line="500" w:lineRule="exact"/>
        <w:ind w:firstLine="480"/>
        <w:rPr>
          <w:rFonts w:ascii="楷体" w:hAnsi="楷体" w:eastAsia="楷体" w:cs="楷体"/>
          <w:sz w:val="24"/>
        </w:rPr>
      </w:pPr>
      <w:r>
        <w:rPr>
          <w:rFonts w:hint="eastAsia" w:ascii="楷体" w:hAnsi="楷体" w:eastAsia="楷体" w:cs="楷体"/>
          <w:vanish/>
          <w:sz w:val="24"/>
        </w:rPr>
        <w:t xml:space="preserve">    16.15</w:t>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sz w:val="24"/>
        </w:rPr>
        <w:t>4.9</w:t>
      </w:r>
      <w:r>
        <w:rPr>
          <w:rFonts w:hint="eastAsia" w:ascii="楷体" w:hAnsi="楷体" w:eastAsia="楷体" w:cs="楷体"/>
          <w:color w:val="000000" w:themeColor="text1"/>
          <w:sz w:val="24"/>
        </w:rPr>
        <w:t>投标文件中已标价工程量清单与招标文件提供的工程量清单中的项目编码、项目名称、项目特征、计量单位、工程量不一致的；</w:t>
      </w:r>
    </w:p>
    <w:p>
      <w:pPr>
        <w:spacing w:line="500" w:lineRule="exact"/>
        <w:rPr>
          <w:rFonts w:ascii="楷体" w:hAnsi="楷体" w:eastAsia="楷体" w:cs="楷体"/>
          <w:sz w:val="24"/>
        </w:rPr>
      </w:pPr>
      <w:r>
        <w:rPr>
          <w:rFonts w:hint="eastAsia" w:ascii="楷体" w:hAnsi="楷体" w:eastAsia="楷体" w:cs="楷体"/>
          <w:sz w:val="24"/>
        </w:rPr>
        <w:t xml:space="preserve">    4.10未按招标文件要求提供投标保证金的；</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4.11投标文件载明的招标项目完成期限超过招标文件规定的期限的；</w:t>
      </w:r>
    </w:p>
    <w:p>
      <w:pPr>
        <w:spacing w:line="500" w:lineRule="exact"/>
        <w:ind w:firstLine="480" w:firstLineChars="200"/>
        <w:rPr>
          <w:rFonts w:ascii="楷体" w:hAnsi="楷体" w:eastAsia="楷体" w:cs="楷体"/>
          <w:sz w:val="24"/>
        </w:rPr>
      </w:pPr>
      <w:r>
        <w:rPr>
          <w:rFonts w:hint="eastAsia" w:ascii="楷体" w:hAnsi="楷体" w:eastAsia="楷体" w:cs="楷体"/>
          <w:sz w:val="24"/>
        </w:rPr>
        <w:t>4.12明显不符合技术规范、技术标准的要求；</w:t>
      </w:r>
    </w:p>
    <w:p>
      <w:pPr>
        <w:spacing w:line="500" w:lineRule="exact"/>
        <w:ind w:firstLine="480" w:firstLineChars="200"/>
        <w:rPr>
          <w:rFonts w:ascii="楷体" w:hAnsi="楷体" w:eastAsia="楷体" w:cs="楷体"/>
          <w:sz w:val="24"/>
        </w:rPr>
      </w:pPr>
      <w:r>
        <w:rPr>
          <w:rFonts w:hint="eastAsia" w:ascii="楷体" w:hAnsi="楷体" w:eastAsia="楷体" w:cs="楷体"/>
          <w:sz w:val="24"/>
        </w:rPr>
        <w:t>4.13投标文件载明的货物包装方式、检验标准和方法等不符合招标文件的要求的；</w:t>
      </w:r>
    </w:p>
    <w:p>
      <w:pPr>
        <w:spacing w:line="500" w:lineRule="exact"/>
        <w:ind w:firstLine="480" w:firstLineChars="200"/>
        <w:rPr>
          <w:rFonts w:ascii="楷体" w:hAnsi="楷体" w:eastAsia="楷体" w:cs="楷体"/>
          <w:sz w:val="24"/>
        </w:rPr>
      </w:pPr>
      <w:r>
        <w:rPr>
          <w:rFonts w:hint="eastAsia" w:ascii="楷体" w:hAnsi="楷体" w:eastAsia="楷体" w:cs="楷体"/>
          <w:sz w:val="24"/>
        </w:rPr>
        <w:t>4.14投标文件提出了不能满足招标文件要求或招标人不能接受的工程验收、计量、价款结算和支付办法的；</w:t>
      </w:r>
    </w:p>
    <w:p>
      <w:pPr>
        <w:spacing w:line="500" w:lineRule="exact"/>
        <w:rPr>
          <w:rFonts w:ascii="楷体" w:hAnsi="楷体" w:eastAsia="楷体" w:cs="楷体"/>
          <w:sz w:val="24"/>
        </w:rPr>
      </w:pPr>
      <w:r>
        <w:rPr>
          <w:rFonts w:hint="eastAsia" w:ascii="楷体" w:hAnsi="楷体" w:eastAsia="楷体" w:cs="楷体"/>
          <w:vanish/>
          <w:sz w:val="24"/>
        </w:rPr>
        <w:cr/>
      </w:r>
      <w:r>
        <w:rPr>
          <w:rFonts w:hint="eastAsia" w:ascii="楷体" w:hAnsi="楷体" w:eastAsia="楷体" w:cs="楷体"/>
          <w:vanish/>
          <w:sz w:val="24"/>
        </w:rPr>
        <w:t xml:space="preserve">   0明的招标项目完成期限超过招标文件规定的期限、</w:t>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sz w:val="24"/>
        </w:rPr>
        <w:t xml:space="preserve">    4.15不同投标人的投标文件制作过程出现了评标委员会认为不应当雷同的情况；</w:t>
      </w:r>
    </w:p>
    <w:p>
      <w:pPr>
        <w:spacing w:line="500" w:lineRule="exact"/>
        <w:ind w:firstLine="480"/>
        <w:rPr>
          <w:rFonts w:ascii="楷体" w:hAnsi="楷体" w:eastAsia="楷体" w:cs="楷体"/>
          <w:sz w:val="24"/>
        </w:rPr>
      </w:pPr>
      <w:r>
        <w:rPr>
          <w:rFonts w:hint="eastAsia" w:ascii="楷体" w:hAnsi="楷体" w:eastAsia="楷体" w:cs="楷体"/>
          <w:sz w:val="24"/>
        </w:rPr>
        <w:t>4.16以他人的名义投标、串通投标、以行贿手段谋取中标或者以其他弄虚作假方式投标的；</w:t>
      </w:r>
    </w:p>
    <w:p>
      <w:pPr>
        <w:spacing w:line="500" w:lineRule="exact"/>
        <w:ind w:firstLine="480"/>
        <w:rPr>
          <w:rFonts w:ascii="楷体" w:hAnsi="楷体" w:eastAsia="楷体" w:cs="楷体"/>
          <w:sz w:val="24"/>
        </w:rPr>
      </w:pPr>
      <w:r>
        <w:rPr>
          <w:rFonts w:hint="eastAsia" w:ascii="楷体" w:hAnsi="楷体" w:eastAsia="楷体" w:cs="楷体"/>
          <w:sz w:val="24"/>
        </w:rPr>
        <w:t>4.17投标文件关键内容模糊、无法辨认的</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5、投标文件的澄清</w:t>
      </w:r>
    </w:p>
    <w:p>
      <w:pPr>
        <w:spacing w:line="500" w:lineRule="exact"/>
        <w:ind w:firstLine="480" w:firstLineChars="200"/>
        <w:rPr>
          <w:rFonts w:ascii="楷体" w:hAnsi="楷体" w:eastAsia="楷体" w:cs="楷体"/>
          <w:sz w:val="24"/>
        </w:rPr>
      </w:pPr>
      <w:r>
        <w:rPr>
          <w:rFonts w:hint="eastAsia" w:ascii="楷体" w:hAnsi="楷体" w:eastAsia="楷体" w:cs="楷体"/>
          <w:sz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firstLine="480" w:firstLineChars="200"/>
        <w:rPr>
          <w:rFonts w:ascii="楷体" w:hAnsi="楷体" w:eastAsia="楷体" w:cs="楷体"/>
          <w:sz w:val="24"/>
        </w:rPr>
      </w:pPr>
      <w:r>
        <w:rPr>
          <w:rFonts w:hint="eastAsia" w:ascii="楷体" w:hAnsi="楷体" w:eastAsia="楷体" w:cs="楷体"/>
          <w:sz w:val="24"/>
        </w:rPr>
        <w:t xml:space="preserve">5.2评标委员会不接受投标人主动提出的澄清、说明或补正。 </w:t>
      </w:r>
    </w:p>
    <w:p>
      <w:pPr>
        <w:spacing w:line="500" w:lineRule="exact"/>
        <w:ind w:firstLine="480" w:firstLineChars="200"/>
        <w:rPr>
          <w:rFonts w:ascii="楷体" w:hAnsi="楷体" w:eastAsia="楷体" w:cs="楷体"/>
          <w:sz w:val="24"/>
        </w:rPr>
      </w:pPr>
      <w:r>
        <w:rPr>
          <w:rFonts w:hint="eastAsia" w:ascii="楷体" w:hAnsi="楷体" w:eastAsia="楷体" w:cs="楷体"/>
          <w:sz w:val="24"/>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pPr>
        <w:spacing w:line="500" w:lineRule="exact"/>
        <w:ind w:firstLine="480" w:firstLineChars="200"/>
        <w:rPr>
          <w:rFonts w:ascii="楷体" w:hAnsi="楷体" w:eastAsia="楷体" w:cs="楷体"/>
          <w:sz w:val="24"/>
        </w:rPr>
      </w:pPr>
      <w:r>
        <w:rPr>
          <w:rFonts w:hint="eastAsia" w:ascii="楷体" w:hAnsi="楷体" w:eastAsia="楷体" w:cs="楷体"/>
          <w:sz w:val="24"/>
        </w:rPr>
        <w:t>5.4评标委员会对投标人提交的答复仍有疑问的，可以要求投标人进一步澄清、说明或补正，直至满足评标委员会的要求。</w:t>
      </w:r>
    </w:p>
    <w:p>
      <w:pPr>
        <w:spacing w:line="500" w:lineRule="exact"/>
        <w:ind w:firstLine="480" w:firstLineChars="200"/>
        <w:rPr>
          <w:rFonts w:ascii="楷体" w:hAnsi="楷体" w:eastAsia="楷体" w:cs="楷体"/>
          <w:sz w:val="24"/>
        </w:rPr>
      </w:pPr>
      <w:r>
        <w:rPr>
          <w:rFonts w:hint="eastAsia" w:ascii="楷体" w:hAnsi="楷体" w:eastAsia="楷体" w:cs="楷体"/>
          <w:sz w:val="24"/>
        </w:rPr>
        <w:t>5.5投标截止时间后，投标文件中没有列入的价格和优惠条件或投标人对投标报价或其他实质性内容修正的函件和增加的任何优惠条件，一律不得作为评标、定标的依据。</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6、评标、定标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6.1评标委员会组成</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6.1.1评标委员会由招标人组织相关专家和其他人员组成。</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6.1.2评标委员会在评标时独立开展工作，负责评审所有投标文件，并根据评标办法推荐中标候选人。</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6.1.3评标委员会决定投标文件的响应性只根据投标文件本身的内容，而不寻求外部的证据。</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6.1.5招标人根据评标委员会推荐的中标候选人，确定排名第一的中标候选人为中标人。</w:t>
      </w:r>
    </w:p>
    <w:p>
      <w:pPr>
        <w:spacing w:line="500" w:lineRule="exact"/>
        <w:ind w:left="-1" w:firstLine="480" w:firstLineChars="200"/>
        <w:rPr>
          <w:rFonts w:ascii="楷体" w:hAnsi="楷体" w:eastAsia="楷体" w:cs="楷体"/>
          <w:b/>
          <w:bCs/>
          <w:sz w:val="24"/>
        </w:rPr>
      </w:pPr>
      <w:r>
        <w:rPr>
          <w:rFonts w:hint="eastAsia" w:ascii="楷体" w:hAnsi="楷体" w:eastAsia="楷体" w:cs="楷体"/>
          <w:b/>
          <w:bCs/>
          <w:sz w:val="24"/>
        </w:rPr>
        <w:t>7、评标结果公示</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招标人应当自收到评标报告之日起3日内在招标公告发布媒介上发布评标结果公示表，公示期不得少于3日。</w:t>
      </w:r>
    </w:p>
    <w:p>
      <w:pPr>
        <w:spacing w:line="500" w:lineRule="exact"/>
        <w:ind w:left="-1" w:firstLine="480" w:firstLineChars="200"/>
        <w:rPr>
          <w:rFonts w:ascii="楷体" w:hAnsi="楷体" w:eastAsia="楷体" w:cs="楷体"/>
          <w:b/>
          <w:bCs/>
          <w:sz w:val="24"/>
        </w:rPr>
      </w:pPr>
      <w:r>
        <w:rPr>
          <w:rFonts w:hint="eastAsia" w:ascii="楷体" w:hAnsi="楷体" w:eastAsia="楷体" w:cs="楷体"/>
          <w:b/>
          <w:bCs/>
          <w:sz w:val="24"/>
        </w:rPr>
        <w:t>8、中标通知</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pPr>
        <w:spacing w:line="500" w:lineRule="exact"/>
        <w:ind w:firstLine="480" w:firstLineChars="200"/>
        <w:rPr>
          <w:rFonts w:ascii="楷体" w:hAnsi="楷体" w:eastAsia="楷体" w:cs="楷体"/>
          <w:b/>
          <w:sz w:val="24"/>
        </w:rPr>
      </w:pPr>
      <w:r>
        <w:rPr>
          <w:rFonts w:hint="eastAsia" w:ascii="楷体" w:hAnsi="楷体" w:eastAsia="楷体" w:cs="楷体"/>
          <w:b/>
          <w:sz w:val="24"/>
        </w:rPr>
        <w:t>9、授予合同</w:t>
      </w:r>
    </w:p>
    <w:p>
      <w:pPr>
        <w:spacing w:line="500" w:lineRule="exact"/>
        <w:ind w:left="-1" w:firstLine="480" w:firstLineChars="200"/>
        <w:rPr>
          <w:rFonts w:ascii="楷体" w:hAnsi="楷体" w:eastAsia="楷体" w:cs="楷体"/>
          <w:b/>
          <w:sz w:val="24"/>
        </w:rPr>
      </w:pPr>
      <w:r>
        <w:rPr>
          <w:rFonts w:hint="eastAsia" w:ascii="楷体" w:hAnsi="楷体" w:eastAsia="楷体" w:cs="楷体"/>
          <w:sz w:val="24"/>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firstLine="480" w:firstLineChars="200"/>
        <w:rPr>
          <w:rFonts w:ascii="楷体" w:hAnsi="楷体" w:eastAsia="楷体" w:cs="楷体"/>
          <w:b/>
          <w:bCs/>
          <w:sz w:val="24"/>
        </w:rPr>
      </w:pPr>
      <w:r>
        <w:rPr>
          <w:rFonts w:hint="eastAsia" w:ascii="楷体" w:hAnsi="楷体" w:eastAsia="楷体" w:cs="楷体"/>
          <w:b/>
          <w:bCs/>
          <w:sz w:val="24"/>
        </w:rPr>
        <w:t>10、其他</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10.1</w:t>
      </w:r>
      <w:r>
        <w:rPr>
          <w:rFonts w:hint="eastAsia" w:ascii="楷体" w:hAnsi="楷体" w:eastAsia="楷体" w:cs="楷体"/>
          <w:b/>
          <w:sz w:val="24"/>
        </w:rPr>
        <w:t>中标结果在网上公示后，投标人或者其他利害关系人对依法必须进行招标的项目的评标结果有异议的（异议书格式详见附件），应当在中标候选人公示期间提出。</w:t>
      </w:r>
      <w:r>
        <w:rPr>
          <w:rFonts w:hint="eastAsia" w:ascii="楷体" w:hAnsi="楷体" w:eastAsia="楷体" w:cs="楷体"/>
          <w:sz w:val="24"/>
        </w:rPr>
        <w:t>除原件外，所有的投标文件均不予退还，请投标人另行存档备份。</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10.2招投标相关单位及个人在招投标活动中存在以下10.2.1以及10.2.2条失信行为的，在“江苏省建设工程招标网”公示期间，本项目的招标人拒绝其投标。</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10.2.1 招投标各方主体及个人在招投标活动中违反法律法规和规章规定受到行政处罚的，公示不少于3个月。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10.2.2投标人在招投标活动中出现如下失信行为，公示1-3个月：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（1）除不可抗力的外，资格预审合格的投标人无故不获取 招标文件或者获取招标文件后放弃投标，或者投标人在投标截止后无故撤销投标文件等，公示2个月；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（2）递交无竞争力的投标文件的（无竞争力投标是指不以 中标为目的的投标，包括投标报价畸高、投标文件故意漏项缺项、 施工组织设计文件不符合篇幅要求、以及故意违反招标文件中已醒目标识的无效投标条款且事先未质疑等情形），公示1个月；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（3）企业一年内4次在全省投诉反映情况不属实，缺乏事实或法律依据的，公示1个月；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（4）投诉人故意捏造事实、伪造证明材料的，或者以非法手段取得证明材料等进行恶意投诉的，公示3个月。</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10.3投标须知以及答疑文件、补充通知对本条款作出补充调整的，从其规定。</w:t>
      </w:r>
    </w:p>
    <w:p>
      <w:pPr>
        <w:spacing w:line="500" w:lineRule="exact"/>
        <w:ind w:left="-1" w:firstLine="480" w:firstLineChars="200"/>
        <w:rPr>
          <w:rFonts w:ascii="楷体" w:hAnsi="楷体" w:eastAsia="楷体" w:cs="楷体"/>
          <w:sz w:val="24"/>
        </w:rPr>
      </w:pPr>
      <w:r>
        <w:rPr>
          <w:rFonts w:hint="eastAsia" w:ascii="楷体" w:hAnsi="楷体" w:eastAsia="楷体" w:cs="楷体"/>
          <w:sz w:val="24"/>
        </w:rPr>
        <w:t>10.4本条款未尽事宜，按国家和省有关法律、法规规定处理。</w:t>
      </w:r>
    </w:p>
    <w:p>
      <w:pPr>
        <w:spacing w:line="360" w:lineRule="auto"/>
        <w:rPr>
          <w:rFonts w:ascii="楷体" w:hAnsi="楷体" w:eastAsia="楷体" w:cs="楷体"/>
          <w:sz w:val="28"/>
          <w:szCs w:val="28"/>
        </w:rPr>
      </w:pPr>
    </w:p>
    <w:p>
      <w:pPr>
        <w:spacing w:line="500" w:lineRule="exact"/>
        <w:ind w:firstLine="560" w:firstLineChars="200"/>
        <w:jc w:val="center"/>
        <w:rPr>
          <w:rFonts w:ascii="楷体" w:hAnsi="楷体" w:eastAsia="楷体" w:cs="楷体"/>
          <w:b/>
          <w:sz w:val="44"/>
          <w:szCs w:val="44"/>
        </w:rPr>
      </w:pPr>
      <w:r>
        <w:rPr>
          <w:rFonts w:hint="eastAsia" w:ascii="楷体" w:hAnsi="楷体" w:eastAsia="楷体" w:cs="楷体"/>
          <w:b/>
          <w:sz w:val="28"/>
          <w:szCs w:val="28"/>
        </w:rPr>
        <w:br w:type="page"/>
      </w:r>
      <w:r>
        <w:rPr>
          <w:rFonts w:hint="eastAsia" w:ascii="楷体" w:hAnsi="楷体" w:eastAsia="楷体" w:cs="楷体"/>
          <w:b/>
          <w:sz w:val="44"/>
          <w:szCs w:val="44"/>
        </w:rPr>
        <w:t>第六部分  合同主要条款</w:t>
      </w:r>
    </w:p>
    <w:p>
      <w:pPr>
        <w:spacing w:line="500" w:lineRule="exact"/>
        <w:ind w:firstLine="480" w:firstLineChars="200"/>
        <w:rPr>
          <w:rFonts w:ascii="楷体" w:hAnsi="楷体" w:eastAsia="楷体" w:cs="楷体"/>
          <w:b/>
          <w:sz w:val="24"/>
        </w:rPr>
      </w:pP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发包人：</w:t>
      </w:r>
      <w:r>
        <w:rPr>
          <w:rFonts w:hint="eastAsia" w:ascii="楷体" w:hAnsi="楷体" w:eastAsia="楷体" w:cs="楷体"/>
          <w:b/>
          <w:color w:val="auto"/>
          <w:sz w:val="24"/>
          <w:highlight w:val="none"/>
          <w:u w:val="single"/>
        </w:rPr>
        <w:t>即招标人</w:t>
      </w:r>
    </w:p>
    <w:p>
      <w:pPr>
        <w:spacing w:line="500" w:lineRule="exact"/>
        <w:ind w:firstLine="480" w:firstLineChars="200"/>
        <w:rPr>
          <w:rFonts w:ascii="楷体" w:hAnsi="楷体" w:eastAsia="楷体" w:cs="楷体"/>
          <w:b/>
          <w:color w:val="auto"/>
          <w:sz w:val="24"/>
          <w:highlight w:val="none"/>
          <w:u w:val="single"/>
        </w:rPr>
      </w:pPr>
      <w:r>
        <w:rPr>
          <w:rFonts w:hint="eastAsia" w:ascii="楷体" w:hAnsi="楷体" w:eastAsia="楷体" w:cs="楷体"/>
          <w:b/>
          <w:color w:val="auto"/>
          <w:sz w:val="24"/>
          <w:highlight w:val="none"/>
        </w:rPr>
        <w:t>承包人：</w:t>
      </w:r>
      <w:r>
        <w:rPr>
          <w:rFonts w:hint="eastAsia" w:ascii="楷体" w:hAnsi="楷体" w:eastAsia="楷体" w:cs="楷体"/>
          <w:b/>
          <w:color w:val="auto"/>
          <w:sz w:val="24"/>
          <w:highlight w:val="none"/>
          <w:u w:val="single"/>
        </w:rPr>
        <w:t>即中标人</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1、合同价</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合同价的签定必须与中标价一致</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2、承包方式</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包工包料</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3、承包范围</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详见投标须知前附表</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4、履约担保</w:t>
      </w:r>
    </w:p>
    <w:p>
      <w:pPr>
        <w:spacing w:line="360" w:lineRule="auto"/>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本工程履约保证金为中标价的</w:t>
      </w:r>
      <w:r>
        <w:rPr>
          <w:rFonts w:hint="eastAsia" w:ascii="楷体" w:hAnsi="楷体" w:eastAsia="楷体" w:cs="楷体"/>
          <w:color w:val="auto"/>
          <w:sz w:val="24"/>
          <w:highlight w:val="none"/>
          <w:u w:val="single"/>
        </w:rPr>
        <w:t>5 %</w:t>
      </w:r>
      <w:r>
        <w:rPr>
          <w:rFonts w:hint="eastAsia" w:ascii="楷体" w:hAnsi="楷体" w:eastAsia="楷体" w:cs="楷体"/>
          <w:color w:val="auto"/>
          <w:sz w:val="24"/>
          <w:highlight w:val="none"/>
        </w:rPr>
        <w:t>。中标人应自中标人结果公示之日起7 日内将履约保证金以转帐、电汇或银行汇票或银行保函形式汇转至招标人指定帐户。</w:t>
      </w:r>
      <w:r>
        <w:rPr>
          <w:rFonts w:hint="eastAsia" w:ascii="楷体" w:hAnsi="楷体" w:eastAsia="楷体" w:cs="楷体"/>
          <w:b/>
          <w:color w:val="auto"/>
          <w:sz w:val="24"/>
          <w:highlight w:val="none"/>
        </w:rPr>
        <w:t>如未按规定时间、方式缴纳履约保证金的，招标人有权取消其中标资格。</w:t>
      </w:r>
    </w:p>
    <w:p>
      <w:pPr>
        <w:spacing w:line="500" w:lineRule="exact"/>
        <w:ind w:left="-1"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5、项目组成员</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本工程施工项目经理部主要管理人员包括项目负责人、技术负责人、施工员、安全员、质量员。投标时，仅需提供项目经理相关资料，其他现场人员在中标签订施工合同备案时按苏建建管〔2017〕236号文要求配备到位。</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6、合同工期</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6.1合同工期以中标人投标时承诺工期为准。</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中标人应按照投标文件承诺的工期确保工程验收，不得以任何借口停工怠工，如因中标人原因延误工期的，中标人应承担违约责任，按每拖延一天向招标人支付合同价百分之一的违约金，如连续拖延达一周及以上的，招标人有权单方面解除合同，已完合格工程量按其70%结算。如因招标人原因并且符合工程工期顺延的情况，经监理或招标人签证确认后顺延。</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6.3实际开工日期以招标人发出的“开工通知书”为准。</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7、 质量标准</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7.1合同质量标准以中标人投标时承诺的质量标准为准。</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7.2如达不到合同质量标准，中标人必须无偿整改达标准。否则，承担违约责任。非招标人原因，质量整改期间工期不予顺延。</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7.3承包人采购的材料及设备品牌，发包人有推荐品牌的须按推荐品牌要求执行，未具体明确的，在进场前必须按招标文件及上述要求书面报发包人审批确定后方可实施。但所有材料及设备必须为国内一线高档知名品牌，否则发包人有权不予以结算。</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7.4质量管理：承包人须严格按照设计图纸、招标工程量清单、质量要求、验收规范、发包人要求等组织施工，接受发包人或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或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8、材料设备供应</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8.1除招标文件中《发包人提供材料和工程设备一览表》中的材料为招标人供应外，其余材料均由中标人组织采购，凡由中标人采购的材料，中标人应按照设计和有关标准及招标文件要求采购，向招标人提供质量保证书、出厂合格证及现场抽样报告等证明材料，对材料质量负责。如不符合质量及相关规定要求或规格有差异的，应禁止使用。中标人采购的材料设备与设计或标准要求不符时，中标人应按工程师要求的时间运出施工场地，重新采购符合要求的产品，并承担由此发生的费用，由此延误的工期不予顺延。若已使用，对工程造成的损失由中标人负责。</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9、工程付款</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9.1工程款指合同价（即中标价）扣除暂列金额后的工程价款。具体付款幅度如下：</w:t>
      </w:r>
    </w:p>
    <w:p>
      <w:pPr>
        <w:spacing w:line="500" w:lineRule="exact"/>
        <w:ind w:firstLine="480" w:firstLineChars="200"/>
        <w:rPr>
          <w:rFonts w:hint="eastAsia" w:ascii="楷体_GB2312" w:hAnsi="楷体_GB2312" w:eastAsia="楷体_GB2312" w:cs="楷体_GB2312"/>
          <w:color w:val="FF0000"/>
          <w:sz w:val="24"/>
          <w:highlight w:val="none"/>
          <w:lang w:eastAsia="zh-CN"/>
        </w:rPr>
      </w:pPr>
      <w:r>
        <w:rPr>
          <w:rFonts w:hint="eastAsia" w:ascii="楷体_GB2312" w:hAnsi="楷体_GB2312" w:eastAsia="楷体_GB2312" w:cs="楷体_GB2312"/>
          <w:color w:val="FF0000"/>
          <w:sz w:val="24"/>
          <w:highlight w:val="none"/>
          <w:lang w:eastAsia="zh-CN"/>
        </w:rPr>
        <w:t>工程完成合同工作量的50%以上，经发包人审核后，可付至已完成工程量的70%；工程全部完成并经发包人验收合格后，付至全部已完成工程量的70%；审计结束后付至审计总价的95%，余款在一年质保期满且无质量问题后付清（无息）。</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10、合同定价方式与工程结算</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10.1 本项目采用固定</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单价合同，合同实施过程中风险范围内中标</w:t>
      </w:r>
      <w:r>
        <w:rPr>
          <w:rFonts w:hint="eastAsia" w:ascii="楷体" w:hAnsi="楷体" w:eastAsia="楷体" w:cs="楷体"/>
          <w:color w:val="auto"/>
          <w:sz w:val="24"/>
          <w:highlight w:val="none"/>
          <w:lang w:eastAsia="zh-CN"/>
        </w:rPr>
        <w:t>全费用</w:t>
      </w:r>
      <w:r>
        <w:rPr>
          <w:rFonts w:hint="eastAsia" w:ascii="楷体" w:hAnsi="楷体" w:eastAsia="楷体" w:cs="楷体"/>
          <w:color w:val="auto"/>
          <w:sz w:val="24"/>
          <w:highlight w:val="none"/>
        </w:rPr>
        <w:t>单价不作调整。</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10.2 结算价=中标全费用单价×经审计的招标范围内经验收合格的实际工作量。</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无论招标时图纸、工程量清单中项目特征描述、招标文件中规定的技术要求是否准确，承包人的全费用综合单价报价应为完成施工图纸、招标人要求和工程量清单的全部内容，若无相关设计变更，中标的全费用综合单价不予调整，工程量按实际完成工程量结算。最终以审计部门审查确认后的工程竣工结算价为准。</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本工程施工过程中遇到的地方矛盾及由此发生的费用由承包人自行负责。</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工程所发生施工、生活、消防用水、用电由承包人自行解决并承担相关费用。</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承包人应在发包人确认的完工日之日起28日内编制并向发包人报送工程结算进行审核。</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施工期间部分材料市场价格发生变化超出一度幅度时的风险约定：不调整，均由承包人承担。</w:t>
      </w:r>
    </w:p>
    <w:p>
      <w:pPr>
        <w:spacing w:line="500" w:lineRule="exact"/>
        <w:ind w:left="-1" w:firstLine="480"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10.3以上关于合同定价与结算方式条款中未尽事宜由双方依据《建设工程工程量清单计价规范》（GB 50500-2013）以及相关配套文件中关于工程价款调整与结算的内容进行协商，并在合同中具体约定。</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11、安全文明施工与环境保护</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（1）承包人在施工过程中应严格执行国家、省、市、行业主</w:t>
      </w:r>
      <w:bookmarkStart w:id="6" w:name="OLE_LINK7"/>
      <w:r>
        <w:rPr>
          <w:rFonts w:hint="eastAsia" w:ascii="楷体" w:hAnsi="楷体" w:eastAsia="楷体" w:cs="楷体"/>
          <w:color w:val="auto"/>
          <w:sz w:val="24"/>
          <w:highlight w:val="none"/>
        </w:rPr>
        <w:t>管</w:t>
      </w:r>
      <w:bookmarkEnd w:id="6"/>
      <w:r>
        <w:rPr>
          <w:rFonts w:hint="eastAsia" w:ascii="楷体" w:hAnsi="楷体" w:eastAsia="楷体" w:cs="楷体"/>
          <w:color w:val="auto"/>
          <w:sz w:val="24"/>
          <w:highlight w:val="none"/>
        </w:rPr>
        <w:t>部门关于文明施工的有关规定，加强文明施工、环境保护、扬尘控制、噪声污染控制等管理。发包人或监理单位、行业主管部门有权监督检查承包人文明施工措施的落实情况。由于承包人疏于采取文明施工措施所造成的必要费用的支出，由承包人支付，承包人未支付或迟延支付的，发包人可从工程款中予以提取。</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（2）施工工作面内所有现场清理、矛盾协调处理等含在合同价内，结算时不予调整。</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（3）施工过程中应确保沿线单位、小区居民的临时出行和正常的生产生活</w:t>
      </w:r>
      <w:bookmarkStart w:id="7" w:name="OLE_LINK8"/>
      <w:r>
        <w:rPr>
          <w:rFonts w:hint="eastAsia" w:ascii="楷体" w:hAnsi="楷体" w:eastAsia="楷体" w:cs="楷体"/>
          <w:color w:val="auto"/>
          <w:sz w:val="24"/>
          <w:highlight w:val="none"/>
        </w:rPr>
        <w:t>秩序</w:t>
      </w:r>
      <w:bookmarkEnd w:id="7"/>
      <w:r>
        <w:rPr>
          <w:rFonts w:hint="eastAsia" w:ascii="楷体" w:hAnsi="楷体" w:eastAsia="楷体" w:cs="楷体"/>
          <w:color w:val="auto"/>
          <w:sz w:val="24"/>
          <w:highlight w:val="none"/>
        </w:rPr>
        <w:t>，协调处理好相关矛盾，费用由承包人自行负责。</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（4）因施工安全所需设置的各种警示标牌、警示灯、施工现场围护、导行交通、安全防护等措施费用由承包人自行负责。</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（5）工程施工过程中遇到的地方矛盾及由此发生的费用由承包人自行负责。</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（6）施工过程中如因承包人造成周边地上、地下附作物等损坏，均由承包人自行负责赔偿。</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（7）工程质量、工期、现场安全文明施工等的管理按现行有关规范标准以及发包人为强化项目管理所制定的各项管理制度执行，相关管理规定如有调整应按最新文件执行，费用均由中标人承担。</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12、安全施工</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12.1此工程必须确保安全，若发生不安全问题，由中标人自行负责处理并承担一切责任。</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12.2承包人必须遵守国家、省、市建设主管部门有关安全、文明施工及扬尘控制等规定和要求，强化施工现场安全文明施工管理。本工程施工现场必须按照《安全标准化图集》要求实施。承包人进场后，必须严格按照经发包人或监理单位审查批准的方案实施施工场地总平面的布置，服从发包人或监理单位的统一调度和指挥。如出现不服从管理和下列现象的，发包人将视情节轻重认定承包人是否违约，并根据情况要求承包人承担违约责任，支付违约金。</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违约金。若承包人不能及时处理所发生的安全生产事故，并且影响到工程进度时，发包人有权处理相关事务，所发生的费用在支付工程款时扣除。</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12.4承包人应按有关规定编制施工组织设计方案和安全专项方案，采取严格的安全防护措施，确保工程施工安全管理到位，并接受发包人或监理单位及相关部门的安全监督和检查，对于发包人或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按规定及时上报有关部门并通知发包人，同时按相关规定处理。</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13、缺陷责任和保修责任</w:t>
      </w:r>
    </w:p>
    <w:p>
      <w:pPr>
        <w:spacing w:line="500" w:lineRule="exact"/>
        <w:ind w:left="-1"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13.1缺陷责任</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13.1.1本项目缺陷责任期为</w:t>
      </w:r>
      <w:r>
        <w:rPr>
          <w:rFonts w:hint="eastAsia" w:ascii="楷体" w:hAnsi="楷体" w:eastAsia="楷体" w:cs="楷体"/>
          <w:color w:val="auto"/>
          <w:sz w:val="24"/>
          <w:highlight w:val="none"/>
          <w:u w:val="single"/>
        </w:rPr>
        <w:t>24</w:t>
      </w:r>
      <w:r>
        <w:rPr>
          <w:rFonts w:hint="eastAsia" w:ascii="楷体" w:hAnsi="楷体" w:eastAsia="楷体" w:cs="楷体"/>
          <w:color w:val="auto"/>
          <w:sz w:val="24"/>
          <w:highlight w:val="none"/>
        </w:rPr>
        <w:t>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13.1.2中标人应在缺陷责任期内对已交付使用的工程承担缺陷责任。 </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13.1.3缺陷责任期内，招标人对已接收使用的工程负责日常维护工作。</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13.1.4由于中标人原因造成某项缺陷或损坏使工程或工程设备不能按原定目标使用而需要再次检查、检验和修复的，招标人有权要求中标人相应延长缺陷责任期，但缺陷责任期最长不超过2年。</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13.1.5其他关于缺陷责任的有关约定由合同双方根据现行有关规定执行。</w:t>
      </w:r>
    </w:p>
    <w:p>
      <w:pPr>
        <w:spacing w:line="500" w:lineRule="exact"/>
        <w:ind w:left="478" w:leftChars="228"/>
        <w:rPr>
          <w:rFonts w:ascii="楷体" w:hAnsi="楷体" w:eastAsia="楷体" w:cs="楷体"/>
          <w:b/>
          <w:color w:val="auto"/>
          <w:sz w:val="24"/>
          <w:highlight w:val="none"/>
        </w:rPr>
      </w:pPr>
      <w:r>
        <w:rPr>
          <w:rFonts w:hint="eastAsia" w:ascii="楷体" w:hAnsi="楷体" w:eastAsia="楷体" w:cs="楷体"/>
          <w:b/>
          <w:color w:val="auto"/>
          <w:sz w:val="24"/>
          <w:highlight w:val="none"/>
        </w:rPr>
        <w:t>13.2保修责任</w:t>
      </w:r>
    </w:p>
    <w:p>
      <w:pPr>
        <w:spacing w:line="500" w:lineRule="exact"/>
        <w:ind w:firstLine="470" w:firstLineChars="196"/>
        <w:rPr>
          <w:rFonts w:ascii="楷体" w:hAnsi="楷体" w:eastAsia="楷体" w:cs="楷体"/>
          <w:color w:val="auto"/>
          <w:sz w:val="24"/>
          <w:highlight w:val="none"/>
        </w:rPr>
      </w:pPr>
      <w:r>
        <w:rPr>
          <w:rFonts w:hint="eastAsia" w:ascii="楷体" w:hAnsi="楷体" w:eastAsia="楷体" w:cs="楷体"/>
          <w:color w:val="auto"/>
          <w:sz w:val="24"/>
          <w:highlight w:val="none"/>
        </w:rPr>
        <w:t>13.2.1本项目质量保修范围、期限和责任由合同双方在合同条款中具体约定。</w:t>
      </w:r>
    </w:p>
    <w:p>
      <w:pPr>
        <w:spacing w:line="500" w:lineRule="exact"/>
        <w:ind w:firstLine="470" w:firstLineChars="196"/>
        <w:rPr>
          <w:rFonts w:ascii="楷体" w:hAnsi="楷体" w:eastAsia="楷体" w:cs="楷体"/>
          <w:color w:val="auto"/>
          <w:sz w:val="24"/>
          <w:highlight w:val="none"/>
        </w:rPr>
      </w:pPr>
      <w:r>
        <w:rPr>
          <w:rFonts w:hint="eastAsia" w:ascii="楷体" w:hAnsi="楷体" w:eastAsia="楷体" w:cs="楷体"/>
          <w:color w:val="auto"/>
          <w:sz w:val="24"/>
          <w:highlight w:val="none"/>
        </w:rPr>
        <w:t>13.2.2合同双方质量保修范围、期限和责任的约定应不低于《建设工程质量管理条例》（国务院令第279号）和《房屋建筑工程质量保修办法》（建设部令第80号）中规定的最低标准和要求。</w:t>
      </w:r>
    </w:p>
    <w:p>
      <w:pPr>
        <w:spacing w:line="52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13.2.3质保期</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lang w:val="en-US" w:eastAsia="zh-CN"/>
        </w:rPr>
        <w:t>1年</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rPr>
        <w:t>内出现问题，承包人须在</w:t>
      </w:r>
      <w:r>
        <w:rPr>
          <w:rFonts w:hint="eastAsia" w:ascii="楷体" w:hAnsi="楷体" w:eastAsia="楷体" w:cs="楷体"/>
          <w:color w:val="auto"/>
          <w:sz w:val="24"/>
          <w:highlight w:val="none"/>
          <w:lang w:val="en-US" w:eastAsia="zh-CN"/>
        </w:rPr>
        <w:t>2</w:t>
      </w:r>
      <w:r>
        <w:rPr>
          <w:rFonts w:hint="eastAsia" w:ascii="楷体" w:hAnsi="楷体" w:eastAsia="楷体" w:cs="楷体"/>
          <w:color w:val="auto"/>
          <w:sz w:val="24"/>
          <w:highlight w:val="none"/>
        </w:rPr>
        <w:t>天内响应到场维修，否则发包人有权委托他人代修，所发生的费用按3倍从承包人的质保金中扣除。</w:t>
      </w:r>
    </w:p>
    <w:p>
      <w:pPr>
        <w:spacing w:line="500" w:lineRule="exact"/>
        <w:ind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14、工程分包</w:t>
      </w:r>
    </w:p>
    <w:p>
      <w:pPr>
        <w:spacing w:line="52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14.1中标人拟在中标后将中标项目的部分非主体、非关键性工作进行分包的，必须在施工方案中将拟分包方案进行说明；并在签订合同时经招标人确认，同时，中标人应保证在合同实施期间接受分包的第三人应具有国家相关资质规定的资格以及其他限制性条件。</w:t>
      </w:r>
    </w:p>
    <w:p>
      <w:pPr>
        <w:spacing w:line="52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14.2中标人不得将工程进行转包和违法分包，若发现中标人擅自进行转包和违法分包，招标人有权解除合同，并要求中标人支付违约金。</w:t>
      </w:r>
    </w:p>
    <w:p>
      <w:pPr>
        <w:spacing w:line="500" w:lineRule="exact"/>
        <w:ind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15、违约责任</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合同生效后，招标人或中标人如有违约，应按《中华人民共和国合同法》承担其违约责任，赔偿因其违约给对方造成的损失。赔偿损失的计算方法或者约定支付违约金的数额和计算方法由合同双方在合同中具体约定。</w:t>
      </w:r>
    </w:p>
    <w:p>
      <w:pPr>
        <w:spacing w:line="500" w:lineRule="exact"/>
        <w:ind w:firstLine="480"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16、其他</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16.2 本项目施工过程中遇到的一切地方矛盾及由此发生的费用与招标人无涉，均由中标人自行负责，并在投标报价中考虑。</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16.3本项目合同实施期间所有消防、市容保洁、环境噪声、成品保护、文明施工均由中标人负责，并自行承担由此发生的相关费用。</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16.4中标人进场后自觉服从招标人对工地安全、标准化现场、总平面布置的管理，如出现不服从、不配合等现象，招标人有权按违约处理。</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16.5本项目价款一律通过银行非现金结算，实行专款专用。</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16.6 本项目发包人要求承包人严格按照盐建建筑〔2016〕35号《关于进一步做好建筑施工拖欠农民工工资治理工作的通知》文件要求执行。</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16.7本合同条款未尽事宜由双方按照《建设工程施工合同》（GF-2017-0201）示范文本的有关内容在合同中具体约定。</w:t>
      </w:r>
    </w:p>
    <w:p>
      <w:pPr>
        <w:widowControl/>
        <w:jc w:val="left"/>
        <w:rPr>
          <w:rFonts w:ascii="楷体" w:hAnsi="楷体" w:eastAsia="楷体" w:cs="楷体"/>
          <w:b/>
          <w:sz w:val="44"/>
          <w:szCs w:val="44"/>
        </w:rPr>
      </w:pPr>
      <w:r>
        <w:rPr>
          <w:rFonts w:hint="eastAsia" w:ascii="楷体" w:hAnsi="楷体" w:eastAsia="楷体" w:cs="楷体"/>
          <w:b/>
          <w:sz w:val="44"/>
          <w:szCs w:val="44"/>
        </w:rPr>
        <w:br w:type="page"/>
      </w:r>
    </w:p>
    <w:p>
      <w:pPr>
        <w:spacing w:line="500" w:lineRule="exact"/>
        <w:jc w:val="center"/>
        <w:rPr>
          <w:rFonts w:ascii="楷体" w:hAnsi="楷体" w:eastAsia="楷体" w:cs="楷体"/>
          <w:b/>
          <w:sz w:val="44"/>
          <w:szCs w:val="44"/>
        </w:rPr>
      </w:pPr>
      <w:r>
        <w:rPr>
          <w:rFonts w:hint="eastAsia" w:ascii="楷体" w:hAnsi="楷体" w:eastAsia="楷体" w:cs="楷体"/>
          <w:b/>
          <w:sz w:val="44"/>
          <w:szCs w:val="44"/>
        </w:rPr>
        <w:t>第七部分  评标定标办法</w:t>
      </w:r>
    </w:p>
    <w:p>
      <w:pPr>
        <w:spacing w:line="440" w:lineRule="exact"/>
        <w:ind w:firstLine="880" w:firstLineChars="200"/>
        <w:jc w:val="center"/>
        <w:rPr>
          <w:rFonts w:ascii="楷体" w:hAnsi="楷体" w:eastAsia="楷体" w:cs="楷体"/>
          <w:b/>
          <w:sz w:val="44"/>
          <w:szCs w:val="44"/>
        </w:rPr>
      </w:pPr>
    </w:p>
    <w:p>
      <w:pPr>
        <w:spacing w:line="400" w:lineRule="exact"/>
        <w:ind w:firstLine="420" w:firstLineChars="200"/>
        <w:jc w:val="left"/>
        <w:rPr>
          <w:rFonts w:ascii="楷体" w:hAnsi="楷体" w:eastAsia="楷体" w:cs="楷体"/>
          <w:b/>
          <w:szCs w:val="21"/>
        </w:rPr>
      </w:pPr>
      <w:r>
        <w:rPr>
          <w:rFonts w:hint="eastAsia" w:ascii="楷体" w:hAnsi="楷体" w:eastAsia="楷体" w:cs="楷体"/>
          <w:b/>
          <w:szCs w:val="21"/>
        </w:rPr>
        <w:t>一、评标、定标办法</w:t>
      </w:r>
    </w:p>
    <w:p>
      <w:pPr>
        <w:spacing w:line="400" w:lineRule="exact"/>
        <w:ind w:firstLine="420" w:firstLineChars="200"/>
        <w:jc w:val="left"/>
        <w:rPr>
          <w:rFonts w:ascii="楷体" w:hAnsi="楷体" w:eastAsia="楷体" w:cs="楷体"/>
          <w:szCs w:val="21"/>
        </w:rPr>
      </w:pPr>
      <w:r>
        <w:rPr>
          <w:rFonts w:hint="eastAsia" w:ascii="楷体" w:hAnsi="楷体" w:eastAsia="楷体" w:cs="楷体"/>
          <w:szCs w:val="21"/>
        </w:rPr>
        <w:t>本工程招标评标办法采用</w:t>
      </w:r>
      <w:r>
        <w:rPr>
          <w:rFonts w:hint="eastAsia" w:ascii="楷体" w:hAnsi="楷体" w:eastAsia="楷体" w:cs="楷体"/>
          <w:b/>
          <w:bCs/>
          <w:szCs w:val="21"/>
        </w:rPr>
        <w:t>“</w:t>
      </w:r>
      <w:r>
        <w:rPr>
          <w:rFonts w:hint="eastAsia" w:ascii="楷体" w:hAnsi="楷体" w:eastAsia="楷体" w:cs="楷体"/>
          <w:bCs/>
          <w:szCs w:val="21"/>
        </w:rPr>
        <w:t>盐城</w:t>
      </w:r>
      <w:r>
        <w:rPr>
          <w:rFonts w:hint="eastAsia" w:ascii="楷体" w:hAnsi="楷体" w:eastAsia="楷体" w:cs="楷体"/>
          <w:szCs w:val="21"/>
        </w:rPr>
        <w:t>ABCD合成法</w:t>
      </w:r>
      <w:r>
        <w:rPr>
          <w:rFonts w:hint="eastAsia" w:ascii="楷体" w:hAnsi="楷体" w:eastAsia="楷体" w:cs="楷体"/>
          <w:b/>
          <w:bCs/>
          <w:szCs w:val="21"/>
        </w:rPr>
        <w:t>”</w:t>
      </w:r>
      <w:r>
        <w:rPr>
          <w:rFonts w:hint="eastAsia" w:ascii="楷体" w:hAnsi="楷体" w:eastAsia="楷体" w:cs="楷体"/>
          <w:szCs w:val="21"/>
        </w:rPr>
        <w:t>，由招标人依法组建的评标委员会对投标文件进行评审（投标人不需要编制施工组织设计，中标后，中标人应按有关规定编制施工组织设计），推荐有排序的3名中标侯选人。招标人根据评标委员会提供的书面评标报告，依法确定中标人。</w:t>
      </w:r>
    </w:p>
    <w:p>
      <w:pPr>
        <w:spacing w:line="400" w:lineRule="exact"/>
        <w:ind w:firstLine="420" w:firstLineChars="200"/>
        <w:jc w:val="left"/>
        <w:rPr>
          <w:rFonts w:ascii="楷体" w:hAnsi="楷体" w:eastAsia="楷体" w:cs="楷体"/>
          <w:b/>
          <w:szCs w:val="21"/>
        </w:rPr>
      </w:pPr>
      <w:r>
        <w:rPr>
          <w:rFonts w:hint="eastAsia" w:ascii="楷体" w:hAnsi="楷体" w:eastAsia="楷体" w:cs="楷体"/>
          <w:b/>
          <w:szCs w:val="21"/>
        </w:rPr>
        <w:t>二、评标标准和程序</w:t>
      </w:r>
    </w:p>
    <w:p>
      <w:pPr>
        <w:spacing w:line="400" w:lineRule="exact"/>
        <w:ind w:firstLine="420" w:firstLineChars="200"/>
        <w:rPr>
          <w:rFonts w:ascii="楷体" w:hAnsi="楷体" w:eastAsia="楷体" w:cs="楷体"/>
          <w:b/>
          <w:kern w:val="0"/>
          <w:szCs w:val="21"/>
        </w:rPr>
      </w:pPr>
      <w:r>
        <w:rPr>
          <w:rFonts w:hint="eastAsia" w:ascii="楷体" w:hAnsi="楷体" w:eastAsia="楷体" w:cs="楷体"/>
          <w:b/>
          <w:kern w:val="0"/>
          <w:szCs w:val="21"/>
        </w:rPr>
        <w:t>（一）开标</w:t>
      </w:r>
    </w:p>
    <w:p>
      <w:pPr>
        <w:spacing w:line="400" w:lineRule="exact"/>
        <w:ind w:firstLine="420" w:firstLineChars="200"/>
        <w:jc w:val="left"/>
        <w:rPr>
          <w:rFonts w:ascii="楷体" w:hAnsi="楷体" w:eastAsia="楷体" w:cs="楷体"/>
          <w:b/>
          <w:kern w:val="0"/>
          <w:szCs w:val="21"/>
        </w:rPr>
      </w:pPr>
      <w:r>
        <w:rPr>
          <w:rFonts w:hint="eastAsia" w:ascii="楷体" w:hAnsi="楷体" w:eastAsia="楷体" w:cs="楷体"/>
          <w:b/>
          <w:kern w:val="0"/>
          <w:szCs w:val="21"/>
        </w:rPr>
        <w:t>投标文件存在以下情况之一的，以及开标过程发现的其他废标情形，不再进行后续评标：</w:t>
      </w:r>
    </w:p>
    <w:p>
      <w:pPr>
        <w:spacing w:line="400" w:lineRule="exact"/>
        <w:ind w:firstLine="420" w:firstLineChars="200"/>
        <w:jc w:val="left"/>
        <w:rPr>
          <w:rFonts w:ascii="楷体" w:hAnsi="楷体" w:eastAsia="楷体" w:cs="楷体"/>
          <w:szCs w:val="21"/>
        </w:rPr>
      </w:pPr>
      <w:r>
        <w:rPr>
          <w:rFonts w:hint="eastAsia" w:ascii="楷体" w:hAnsi="楷体" w:eastAsia="楷体" w:cs="楷体"/>
          <w:szCs w:val="21"/>
        </w:rPr>
        <w:t>⑴至投标截止时间止，未足额递交投标保证金；</w:t>
      </w:r>
    </w:p>
    <w:p>
      <w:pPr>
        <w:spacing w:line="400" w:lineRule="exact"/>
        <w:ind w:firstLine="420" w:firstLineChars="200"/>
        <w:jc w:val="left"/>
        <w:rPr>
          <w:rFonts w:ascii="楷体" w:hAnsi="楷体" w:eastAsia="楷体" w:cs="楷体"/>
          <w:szCs w:val="21"/>
        </w:rPr>
      </w:pPr>
      <w:r>
        <w:rPr>
          <w:rFonts w:hint="eastAsia" w:ascii="楷体" w:hAnsi="楷体" w:eastAsia="楷体" w:cs="楷体"/>
          <w:szCs w:val="21"/>
        </w:rPr>
        <w:t>⑵投标函中载明的招标项目完成期限超过招标文件规定的期限；</w:t>
      </w:r>
    </w:p>
    <w:p>
      <w:pPr>
        <w:spacing w:line="400" w:lineRule="exact"/>
        <w:ind w:firstLine="420" w:firstLineChars="200"/>
        <w:jc w:val="left"/>
        <w:rPr>
          <w:rFonts w:ascii="楷体" w:hAnsi="楷体" w:eastAsia="楷体" w:cs="楷体"/>
          <w:szCs w:val="21"/>
        </w:rPr>
      </w:pPr>
      <w:r>
        <w:rPr>
          <w:rFonts w:hint="eastAsia" w:ascii="楷体" w:hAnsi="楷体" w:eastAsia="楷体" w:cs="楷体"/>
          <w:szCs w:val="21"/>
        </w:rPr>
        <w:t>⑶投标函中载明的投标质量标准未响应招标文件实质性要求和条件；</w:t>
      </w:r>
    </w:p>
    <w:p>
      <w:pPr>
        <w:spacing w:line="400" w:lineRule="exact"/>
        <w:ind w:firstLine="420" w:firstLineChars="200"/>
        <w:jc w:val="left"/>
        <w:rPr>
          <w:rFonts w:ascii="楷体" w:hAnsi="楷体" w:eastAsia="楷体" w:cs="楷体"/>
          <w:szCs w:val="21"/>
        </w:rPr>
      </w:pPr>
      <w:r>
        <w:rPr>
          <w:rFonts w:hint="eastAsia" w:ascii="楷体" w:hAnsi="楷体" w:eastAsia="楷体" w:cs="楷体"/>
          <w:szCs w:val="21"/>
        </w:rPr>
        <w:t>⑷招标文件约定的出席开标会议的人员未到场的；</w:t>
      </w:r>
    </w:p>
    <w:p>
      <w:pPr>
        <w:spacing w:line="400" w:lineRule="exact"/>
        <w:ind w:firstLine="420" w:firstLineChars="200"/>
        <w:jc w:val="left"/>
        <w:rPr>
          <w:rFonts w:ascii="楷体" w:hAnsi="楷体" w:eastAsia="楷体" w:cs="楷体"/>
          <w:szCs w:val="21"/>
        </w:rPr>
      </w:pPr>
      <w:r>
        <w:rPr>
          <w:rFonts w:hint="eastAsia" w:ascii="楷体" w:hAnsi="楷体" w:eastAsia="楷体" w:cs="楷体"/>
          <w:szCs w:val="21"/>
        </w:rPr>
        <w:t>⑸投标函中载明的投标报价高于招标控制价的。</w:t>
      </w:r>
    </w:p>
    <w:p>
      <w:pPr>
        <w:spacing w:line="400" w:lineRule="exact"/>
        <w:ind w:firstLine="420" w:firstLineChars="200"/>
        <w:rPr>
          <w:rFonts w:ascii="楷体" w:hAnsi="楷体" w:eastAsia="楷体" w:cs="楷体"/>
          <w:szCs w:val="21"/>
        </w:rPr>
      </w:pPr>
      <w:r>
        <w:rPr>
          <w:rFonts w:hint="eastAsia" w:ascii="楷体" w:hAnsi="楷体" w:eastAsia="楷体" w:cs="楷体"/>
          <w:szCs w:val="21"/>
        </w:rPr>
        <w:t>按报价由高到低进行排序后按三分之一分成高、中、低三段（高、中段均去尾取整，多出的均结余至低段。事例说明：比如由高到低排序后投标人有8家，8/3=2.667，高段2家，中段2家，低段4家。按报价由高到低进行排序后，出现较高段区里低报价跟邻近较低段区高报价相同时都归类到较高的段区里），当投标人≤20家时，高、中、低段由招标人代表各随机抽取1家投标人报价，进行求和取平均值此为B值。当投标人＞20家时，高、中、低段由招标人代表各随机抽取2家投标人报价，进行求和取平均值此为B值。</w:t>
      </w:r>
    </w:p>
    <w:p>
      <w:pPr>
        <w:spacing w:line="400" w:lineRule="exact"/>
        <w:ind w:firstLine="420" w:firstLineChars="200"/>
        <w:rPr>
          <w:rFonts w:ascii="楷体" w:hAnsi="楷体" w:eastAsia="楷体" w:cs="楷体"/>
          <w:szCs w:val="21"/>
        </w:rPr>
      </w:pPr>
      <w:r>
        <w:rPr>
          <w:rFonts w:hint="eastAsia" w:ascii="楷体" w:hAnsi="楷体" w:eastAsia="楷体" w:cs="楷体"/>
          <w:szCs w:val="21"/>
        </w:rPr>
        <w:t>在低段区且不得低于下限D值范围内由招标人代表随机抽取一家投标报价后确定为C值。</w:t>
      </w:r>
    </w:p>
    <w:p>
      <w:pPr>
        <w:spacing w:line="400" w:lineRule="exact"/>
        <w:ind w:firstLine="420" w:firstLineChars="200"/>
        <w:rPr>
          <w:rFonts w:ascii="楷体" w:hAnsi="楷体" w:eastAsia="楷体" w:cs="楷体"/>
          <w:szCs w:val="21"/>
        </w:rPr>
      </w:pPr>
      <w:r>
        <w:rPr>
          <w:rFonts w:hint="eastAsia" w:ascii="楷体" w:hAnsi="楷体" w:eastAsia="楷体" w:cs="楷体"/>
          <w:szCs w:val="21"/>
        </w:rPr>
        <w:t>D值指:（开标环节无废标的评标价算术平均值×70%与招标控制价×30%之和）下浮</w:t>
      </w:r>
      <w:r>
        <w:rPr>
          <w:rFonts w:hint="eastAsia" w:ascii="楷体" w:hAnsi="楷体" w:eastAsia="楷体" w:cs="楷体"/>
          <w:b/>
          <w:szCs w:val="21"/>
          <w:u w:val="single"/>
        </w:rPr>
        <w:t>20</w:t>
      </w:r>
      <w:r>
        <w:rPr>
          <w:rFonts w:hint="eastAsia" w:ascii="楷体" w:hAnsi="楷体" w:eastAsia="楷体" w:cs="楷体"/>
          <w:szCs w:val="21"/>
          <w:u w:val="single"/>
        </w:rPr>
        <w:t>%</w:t>
      </w:r>
      <w:r>
        <w:rPr>
          <w:rFonts w:hint="eastAsia" w:ascii="楷体" w:hAnsi="楷体" w:eastAsia="楷体" w:cs="楷体"/>
          <w:szCs w:val="21"/>
        </w:rPr>
        <w:t>计算出的值。</w:t>
      </w:r>
    </w:p>
    <w:p>
      <w:pPr>
        <w:spacing w:line="400" w:lineRule="exact"/>
        <w:ind w:firstLine="420" w:firstLineChars="200"/>
        <w:rPr>
          <w:rFonts w:ascii="楷体" w:hAnsi="楷体" w:eastAsia="楷体" w:cs="楷体"/>
          <w:b/>
          <w:szCs w:val="21"/>
        </w:rPr>
      </w:pPr>
      <w:r>
        <w:rPr>
          <w:rFonts w:hint="eastAsia" w:ascii="楷体" w:hAnsi="楷体" w:eastAsia="楷体" w:cs="楷体"/>
          <w:b/>
          <w:szCs w:val="21"/>
        </w:rPr>
        <w:t>（当投标人数量较少，无法抽取B、C值时，直接在相关区间段内取值进行计算。若C值无法获取时，直接确定D值为C值。）</w:t>
      </w:r>
    </w:p>
    <w:p>
      <w:pPr>
        <w:spacing w:line="400" w:lineRule="exact"/>
        <w:ind w:firstLine="420" w:firstLineChars="200"/>
        <w:rPr>
          <w:rFonts w:ascii="楷体" w:hAnsi="楷体" w:eastAsia="楷体" w:cs="楷体"/>
          <w:b/>
          <w:kern w:val="0"/>
          <w:szCs w:val="21"/>
        </w:rPr>
      </w:pPr>
      <w:r>
        <w:rPr>
          <w:rFonts w:hint="eastAsia" w:ascii="楷体" w:hAnsi="楷体" w:eastAsia="楷体" w:cs="楷体"/>
          <w:b/>
          <w:kern w:val="0"/>
          <w:szCs w:val="21"/>
        </w:rPr>
        <w:t>（二）评标准备</w:t>
      </w:r>
    </w:p>
    <w:p>
      <w:pPr>
        <w:spacing w:line="400" w:lineRule="exact"/>
        <w:ind w:firstLine="420" w:firstLineChars="200"/>
        <w:rPr>
          <w:rFonts w:ascii="楷体" w:hAnsi="楷体" w:eastAsia="楷体" w:cs="楷体"/>
          <w:szCs w:val="21"/>
        </w:rPr>
      </w:pPr>
      <w:r>
        <w:rPr>
          <w:rFonts w:hint="eastAsia" w:ascii="楷体" w:hAnsi="楷体" w:eastAsia="楷体" w:cs="楷体"/>
          <w:szCs w:val="21"/>
        </w:rPr>
        <w:t>评标前由招标人对照省政府第 120 号令要求，进行评标准备工作，并核实投标人和项目负责人的资质和资格、经历和业绩、在建工程和信用状况等方面的情况，重点对被抽到参与有关值计算的投标人审查，发现有投标人递交无竞争力的投标文件的（无竞争力投标是指不以中标为目的的投标，包括投标报价畸高、投标文件故意漏项缺项、施工组织设计文件不符合篇幅要求、以及故意违反招标文件中已醒目标识的无效投标条款且事先未质疑、有业绩要求未提供业绩、或提供明显与招标文件招标公告要求不符的业绩参与投标的等情形），提请评标委员会先进行废标，并作为不良行为推送相关招标网公示不少于1个月，并限制其参加国有资金项目投标。</w:t>
      </w:r>
    </w:p>
    <w:p>
      <w:pPr>
        <w:spacing w:line="400" w:lineRule="exact"/>
        <w:ind w:firstLine="420" w:firstLineChars="200"/>
        <w:jc w:val="left"/>
        <w:rPr>
          <w:rFonts w:ascii="楷体" w:hAnsi="楷体" w:eastAsia="楷体" w:cs="楷体"/>
          <w:b/>
          <w:kern w:val="0"/>
          <w:szCs w:val="21"/>
        </w:rPr>
      </w:pPr>
      <w:r>
        <w:rPr>
          <w:rFonts w:hint="eastAsia" w:ascii="楷体" w:hAnsi="楷体" w:eastAsia="楷体" w:cs="楷体"/>
          <w:b/>
          <w:kern w:val="0"/>
          <w:szCs w:val="21"/>
        </w:rPr>
        <w:t>（三）清标</w:t>
      </w:r>
    </w:p>
    <w:p>
      <w:pPr>
        <w:spacing w:line="400" w:lineRule="exact"/>
        <w:ind w:firstLine="420" w:firstLineChars="200"/>
        <w:jc w:val="left"/>
        <w:rPr>
          <w:rFonts w:ascii="楷体" w:hAnsi="楷体" w:eastAsia="楷体" w:cs="楷体"/>
          <w:szCs w:val="21"/>
        </w:rPr>
      </w:pPr>
      <w:r>
        <w:rPr>
          <w:rFonts w:hint="eastAsia" w:ascii="楷体" w:hAnsi="楷体" w:eastAsia="楷体" w:cs="楷体"/>
          <w:b/>
          <w:kern w:val="0"/>
          <w:szCs w:val="21"/>
        </w:rPr>
        <w:t>（四）评标基准价及投标报价得分确定</w:t>
      </w:r>
    </w:p>
    <w:p>
      <w:pPr>
        <w:autoSpaceDE w:val="0"/>
        <w:autoSpaceDN w:val="0"/>
        <w:adjustRightInd w:val="0"/>
        <w:spacing w:line="400" w:lineRule="exact"/>
        <w:ind w:firstLine="420" w:firstLineChars="200"/>
        <w:jc w:val="left"/>
        <w:rPr>
          <w:rFonts w:ascii="楷体" w:hAnsi="楷体" w:eastAsia="楷体" w:cs="楷体"/>
          <w:kern w:val="0"/>
          <w:szCs w:val="21"/>
        </w:rPr>
      </w:pPr>
      <w:r>
        <w:rPr>
          <w:rFonts w:hint="eastAsia" w:ascii="楷体" w:hAnsi="楷体" w:eastAsia="楷体" w:cs="楷体"/>
          <w:kern w:val="0"/>
          <w:szCs w:val="21"/>
        </w:rPr>
        <w:t>1、评标基准值计算方法的确定</w:t>
      </w:r>
    </w:p>
    <w:p>
      <w:pPr>
        <w:tabs>
          <w:tab w:val="left" w:pos="0"/>
        </w:tabs>
        <w:spacing w:line="400" w:lineRule="exact"/>
        <w:ind w:firstLine="420" w:firstLineChars="200"/>
        <w:rPr>
          <w:rFonts w:ascii="楷体" w:hAnsi="楷体" w:eastAsia="楷体" w:cs="楷体"/>
          <w:szCs w:val="21"/>
        </w:rPr>
      </w:pPr>
      <w:r>
        <w:rPr>
          <w:rFonts w:hint="eastAsia" w:ascii="楷体" w:hAnsi="楷体" w:eastAsia="楷体" w:cs="楷体"/>
          <w:szCs w:val="21"/>
        </w:rPr>
        <w:t>评标基准价=</w:t>
      </w:r>
      <w:r>
        <w:rPr>
          <w:rFonts w:hint="eastAsia" w:ascii="楷体" w:hAnsi="楷体" w:eastAsia="楷体" w:cs="楷体"/>
          <w:szCs w:val="21"/>
          <w:u w:val="single"/>
        </w:rPr>
        <w:t>（A×50%＋B×35%＋C×15%）×K；</w:t>
      </w:r>
    </w:p>
    <w:p>
      <w:pPr>
        <w:autoSpaceDE w:val="0"/>
        <w:autoSpaceDN w:val="0"/>
        <w:adjustRightInd w:val="0"/>
        <w:spacing w:line="400" w:lineRule="exact"/>
        <w:ind w:firstLine="420" w:firstLineChars="200"/>
        <w:jc w:val="left"/>
        <w:rPr>
          <w:rFonts w:ascii="楷体" w:hAnsi="楷体" w:eastAsia="楷体" w:cs="楷体"/>
          <w:kern w:val="0"/>
          <w:szCs w:val="21"/>
        </w:rPr>
      </w:pPr>
      <w:r>
        <w:rPr>
          <w:rFonts w:hint="eastAsia" w:ascii="楷体" w:hAnsi="楷体" w:eastAsia="楷体" w:cs="楷体"/>
          <w:kern w:val="0"/>
          <w:szCs w:val="21"/>
        </w:rPr>
        <w:t>2、评标基准值计算具体细则见（附表一），参数设置如下：</w:t>
      </w:r>
    </w:p>
    <w:p>
      <w:pPr>
        <w:autoSpaceDE w:val="0"/>
        <w:autoSpaceDN w:val="0"/>
        <w:adjustRightInd w:val="0"/>
        <w:spacing w:line="400" w:lineRule="exact"/>
        <w:ind w:firstLine="420" w:firstLineChars="200"/>
        <w:jc w:val="left"/>
        <w:rPr>
          <w:rFonts w:ascii="楷体" w:hAnsi="楷体" w:eastAsia="楷体" w:cs="楷体"/>
          <w:kern w:val="0"/>
          <w:szCs w:val="21"/>
        </w:rPr>
      </w:pPr>
      <w:r>
        <w:rPr>
          <w:rFonts w:hint="eastAsia" w:ascii="楷体" w:hAnsi="楷体" w:eastAsia="楷体" w:cs="楷体"/>
          <w:kern w:val="0"/>
          <w:szCs w:val="21"/>
        </w:rPr>
        <w:t>K值取值范围：</w:t>
      </w:r>
      <w:r>
        <w:rPr>
          <w:rFonts w:hint="eastAsia" w:ascii="楷体" w:hAnsi="楷体" w:eastAsia="楷体" w:cs="楷体"/>
          <w:kern w:val="0"/>
          <w:szCs w:val="21"/>
          <w:u w:val="single"/>
        </w:rPr>
        <w:t>96%、96</w:t>
      </w:r>
      <w:r>
        <w:rPr>
          <w:rFonts w:hint="eastAsia" w:ascii="楷体" w:hAnsi="楷体" w:eastAsia="楷体" w:cs="楷体"/>
          <w:szCs w:val="21"/>
          <w:u w:val="single"/>
        </w:rPr>
        <w:t>.5</w:t>
      </w:r>
      <w:r>
        <w:rPr>
          <w:rFonts w:hint="eastAsia" w:ascii="楷体" w:hAnsi="楷体" w:eastAsia="楷体" w:cs="楷体"/>
          <w:kern w:val="0"/>
          <w:szCs w:val="21"/>
          <w:u w:val="single"/>
        </w:rPr>
        <w:t>%、</w:t>
      </w:r>
      <w:r>
        <w:rPr>
          <w:rFonts w:hint="eastAsia" w:ascii="楷体" w:hAnsi="楷体" w:eastAsia="楷体" w:cs="楷体"/>
          <w:szCs w:val="21"/>
          <w:u w:val="single"/>
        </w:rPr>
        <w:t>97%、97.5%、98%</w:t>
      </w:r>
      <w:r>
        <w:rPr>
          <w:rFonts w:hint="eastAsia" w:ascii="楷体" w:hAnsi="楷体" w:eastAsia="楷体" w:cs="楷体"/>
          <w:kern w:val="0"/>
          <w:szCs w:val="21"/>
        </w:rPr>
        <w:t>，（开标时由</w:t>
      </w:r>
      <w:r>
        <w:rPr>
          <w:rFonts w:hint="eastAsia" w:ascii="楷体" w:hAnsi="楷体" w:eastAsia="楷体" w:cs="楷体"/>
          <w:kern w:val="0"/>
          <w:szCs w:val="21"/>
          <w:u w:val="single"/>
        </w:rPr>
        <w:t>招标人代表</w:t>
      </w:r>
      <w:r>
        <w:rPr>
          <w:rFonts w:hint="eastAsia" w:ascii="楷体" w:hAnsi="楷体" w:eastAsia="楷体" w:cs="楷体"/>
          <w:kern w:val="0"/>
          <w:szCs w:val="21"/>
        </w:rPr>
        <w:t>随机抽取确定）；</w:t>
      </w:r>
    </w:p>
    <w:p>
      <w:pPr>
        <w:spacing w:line="400" w:lineRule="exact"/>
        <w:ind w:firstLine="420" w:firstLineChars="200"/>
        <w:rPr>
          <w:rFonts w:ascii="楷体" w:hAnsi="楷体" w:eastAsia="楷体" w:cs="楷体"/>
          <w:kern w:val="0"/>
          <w:szCs w:val="21"/>
        </w:rPr>
      </w:pPr>
      <w:r>
        <w:rPr>
          <w:rFonts w:hint="eastAsia" w:ascii="楷体" w:hAnsi="楷体" w:eastAsia="楷体" w:cs="楷体"/>
          <w:szCs w:val="21"/>
        </w:rPr>
        <w:t>Δ</w:t>
      </w:r>
      <w:r>
        <w:rPr>
          <w:rFonts w:hint="eastAsia" w:ascii="楷体" w:hAnsi="楷体" w:eastAsia="楷体" w:cs="楷体"/>
          <w:kern w:val="0"/>
          <w:szCs w:val="21"/>
        </w:rPr>
        <w:t>值取值范围详见附表：</w:t>
      </w:r>
      <w:r>
        <w:rPr>
          <w:rFonts w:hint="eastAsia" w:ascii="楷体" w:hAnsi="楷体" w:eastAsia="楷体" w:cs="楷体"/>
          <w:szCs w:val="21"/>
          <w:u w:val="single"/>
        </w:rPr>
        <w:t>8%、9%、10%、11%、12%、13%、14%、15%</w:t>
      </w:r>
      <w:r>
        <w:rPr>
          <w:rFonts w:hint="eastAsia" w:ascii="楷体" w:hAnsi="楷体" w:eastAsia="楷体" w:cs="楷体"/>
          <w:kern w:val="0"/>
          <w:szCs w:val="21"/>
        </w:rPr>
        <w:t>，（开标时由</w:t>
      </w:r>
      <w:r>
        <w:rPr>
          <w:rFonts w:hint="eastAsia" w:ascii="楷体" w:hAnsi="楷体" w:eastAsia="楷体" w:cs="楷体"/>
          <w:kern w:val="0"/>
          <w:szCs w:val="21"/>
          <w:u w:val="single"/>
        </w:rPr>
        <w:t>招标人代表</w:t>
      </w:r>
      <w:r>
        <w:rPr>
          <w:rFonts w:hint="eastAsia" w:ascii="楷体" w:hAnsi="楷体" w:eastAsia="楷体" w:cs="楷体"/>
          <w:kern w:val="0"/>
          <w:szCs w:val="21"/>
        </w:rPr>
        <w:t>随机抽取确定）；</w:t>
      </w:r>
    </w:p>
    <w:p>
      <w:pPr>
        <w:tabs>
          <w:tab w:val="left" w:pos="0"/>
        </w:tabs>
        <w:spacing w:line="400" w:lineRule="exact"/>
        <w:ind w:firstLine="420" w:firstLineChars="200"/>
        <w:rPr>
          <w:rFonts w:ascii="楷体" w:hAnsi="楷体" w:eastAsia="楷体" w:cs="楷体"/>
          <w:szCs w:val="21"/>
        </w:rPr>
      </w:pPr>
      <w:r>
        <w:rPr>
          <w:rFonts w:hint="eastAsia" w:ascii="楷体" w:hAnsi="楷体" w:eastAsia="楷体" w:cs="楷体"/>
          <w:kern w:val="0"/>
          <w:szCs w:val="21"/>
        </w:rPr>
        <w:t>A值为</w:t>
      </w:r>
      <w:r>
        <w:rPr>
          <w:rFonts w:hint="eastAsia" w:ascii="楷体" w:hAnsi="楷体" w:eastAsia="楷体" w:cs="楷体"/>
          <w:szCs w:val="21"/>
        </w:rPr>
        <w:t>A=招标控制价×（100%－下浮率Δ）；</w:t>
      </w:r>
    </w:p>
    <w:p>
      <w:pPr>
        <w:spacing w:line="400" w:lineRule="exact"/>
        <w:ind w:firstLine="420" w:firstLineChars="200"/>
        <w:rPr>
          <w:rFonts w:ascii="楷体" w:hAnsi="楷体" w:eastAsia="楷体" w:cs="楷体"/>
          <w:kern w:val="0"/>
          <w:szCs w:val="21"/>
        </w:rPr>
      </w:pPr>
      <w:r>
        <w:rPr>
          <w:rFonts w:hint="eastAsia" w:ascii="楷体" w:hAnsi="楷体" w:eastAsia="楷体" w:cs="楷体"/>
          <w:kern w:val="0"/>
          <w:szCs w:val="21"/>
        </w:rPr>
        <w:t>B值为开标时</w:t>
      </w:r>
      <w:r>
        <w:rPr>
          <w:rFonts w:hint="eastAsia" w:ascii="楷体" w:hAnsi="楷体" w:eastAsia="楷体" w:cs="楷体"/>
          <w:szCs w:val="21"/>
        </w:rPr>
        <w:t>由招标人代表</w:t>
      </w:r>
      <w:r>
        <w:rPr>
          <w:rFonts w:hint="eastAsia" w:ascii="楷体" w:hAnsi="楷体" w:eastAsia="楷体" w:cs="楷体"/>
          <w:kern w:val="0"/>
          <w:szCs w:val="21"/>
        </w:rPr>
        <w:t xml:space="preserve">抽取有关投标报价经计算后确定； </w:t>
      </w:r>
    </w:p>
    <w:p>
      <w:pPr>
        <w:spacing w:line="400" w:lineRule="exact"/>
        <w:ind w:firstLine="420" w:firstLineChars="200"/>
        <w:rPr>
          <w:rFonts w:ascii="楷体" w:hAnsi="楷体" w:eastAsia="楷体" w:cs="楷体"/>
          <w:kern w:val="0"/>
          <w:szCs w:val="21"/>
        </w:rPr>
      </w:pPr>
      <w:r>
        <w:rPr>
          <w:rFonts w:hint="eastAsia" w:ascii="楷体" w:hAnsi="楷体" w:eastAsia="楷体" w:cs="楷体"/>
          <w:kern w:val="0"/>
          <w:szCs w:val="21"/>
        </w:rPr>
        <w:t>C值在低段范围内且不得低于下限D值范围内由招标人代表随机抽取一家投标报价确定。</w:t>
      </w:r>
    </w:p>
    <w:p>
      <w:pPr>
        <w:spacing w:line="400" w:lineRule="exact"/>
        <w:ind w:firstLine="420" w:firstLineChars="200"/>
        <w:rPr>
          <w:rFonts w:ascii="楷体" w:hAnsi="楷体" w:eastAsia="楷体" w:cs="楷体"/>
          <w:kern w:val="0"/>
          <w:szCs w:val="21"/>
        </w:rPr>
      </w:pPr>
      <w:r>
        <w:rPr>
          <w:rFonts w:hint="eastAsia" w:ascii="楷体" w:hAnsi="楷体" w:eastAsia="楷体" w:cs="楷体"/>
          <w:kern w:val="0"/>
          <w:szCs w:val="21"/>
        </w:rPr>
        <w:t>3、特殊情形下，评标基准价调整方式：除确认存在计算错误外，不因招投标当事人质疑、投诉、复议以及其它任何情形而改变；</w:t>
      </w:r>
    </w:p>
    <w:p>
      <w:pPr>
        <w:spacing w:line="400" w:lineRule="exact"/>
        <w:ind w:firstLine="420" w:firstLineChars="200"/>
        <w:jc w:val="left"/>
        <w:rPr>
          <w:rFonts w:ascii="楷体" w:hAnsi="楷体" w:eastAsia="楷体" w:cs="楷体"/>
          <w:kern w:val="0"/>
          <w:szCs w:val="21"/>
        </w:rPr>
      </w:pPr>
      <w:r>
        <w:rPr>
          <w:rFonts w:hint="eastAsia" w:ascii="楷体" w:hAnsi="楷体" w:eastAsia="楷体" w:cs="楷体"/>
          <w:b/>
          <w:szCs w:val="21"/>
        </w:rPr>
        <w:t>B、C、D值一经确定，不因后续资格审查废标而改变。</w:t>
      </w:r>
    </w:p>
    <w:p>
      <w:pPr>
        <w:spacing w:line="400" w:lineRule="exact"/>
        <w:ind w:firstLine="420" w:firstLineChars="200"/>
        <w:jc w:val="left"/>
        <w:rPr>
          <w:rFonts w:ascii="楷体" w:hAnsi="楷体" w:eastAsia="楷体" w:cs="楷体"/>
          <w:kern w:val="0"/>
          <w:szCs w:val="21"/>
          <w:u w:val="single"/>
        </w:rPr>
      </w:pPr>
      <w:r>
        <w:rPr>
          <w:rFonts w:hint="eastAsia" w:ascii="楷体" w:hAnsi="楷体" w:eastAsia="楷体" w:cs="楷体"/>
          <w:kern w:val="0"/>
          <w:szCs w:val="21"/>
        </w:rPr>
        <w:t>4、报价得分满分为</w:t>
      </w:r>
      <w:r>
        <w:rPr>
          <w:rFonts w:hint="eastAsia" w:ascii="楷体" w:hAnsi="楷体" w:eastAsia="楷体" w:cs="楷体"/>
          <w:kern w:val="0"/>
          <w:szCs w:val="21"/>
          <w:u w:val="single"/>
        </w:rPr>
        <w:t>100分</w:t>
      </w:r>
    </w:p>
    <w:p>
      <w:pPr>
        <w:tabs>
          <w:tab w:val="left" w:pos="0"/>
        </w:tabs>
        <w:spacing w:line="400" w:lineRule="exact"/>
        <w:ind w:firstLine="420" w:firstLineChars="200"/>
        <w:rPr>
          <w:rFonts w:ascii="楷体" w:hAnsi="楷体" w:eastAsia="楷体" w:cs="楷体"/>
          <w:szCs w:val="21"/>
        </w:rPr>
      </w:pPr>
      <w:r>
        <w:rPr>
          <w:rFonts w:hint="eastAsia" w:ascii="楷体" w:hAnsi="楷体" w:eastAsia="楷体" w:cs="楷体"/>
          <w:szCs w:val="21"/>
        </w:rPr>
        <w:t>下浮系数K、下浮率Δ，在开标时</w:t>
      </w:r>
      <w:r>
        <w:rPr>
          <w:rFonts w:hint="eastAsia" w:ascii="楷体" w:hAnsi="楷体" w:eastAsia="楷体" w:cs="楷体"/>
          <w:kern w:val="0"/>
          <w:szCs w:val="21"/>
        </w:rPr>
        <w:t>由</w:t>
      </w:r>
      <w:r>
        <w:rPr>
          <w:rFonts w:hint="eastAsia" w:ascii="楷体" w:hAnsi="楷体" w:eastAsia="楷体" w:cs="楷体"/>
          <w:kern w:val="0"/>
          <w:szCs w:val="21"/>
          <w:u w:val="single"/>
        </w:rPr>
        <w:t>招标人</w:t>
      </w:r>
      <w:r>
        <w:rPr>
          <w:rFonts w:hint="eastAsia" w:ascii="楷体" w:hAnsi="楷体" w:eastAsia="楷体" w:cs="楷体"/>
          <w:szCs w:val="21"/>
          <w:u w:val="single"/>
        </w:rPr>
        <w:t>代表</w:t>
      </w:r>
      <w:r>
        <w:rPr>
          <w:rFonts w:hint="eastAsia" w:ascii="楷体" w:hAnsi="楷体" w:eastAsia="楷体" w:cs="楷体"/>
          <w:szCs w:val="21"/>
        </w:rPr>
        <w:t>按下表取值范围内随机抽取。</w:t>
      </w:r>
    </w:p>
    <w:tbl>
      <w:tblPr>
        <w:tblStyle w:val="18"/>
        <w:tblW w:w="8200"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80"/>
        <w:gridCol w:w="1903"/>
        <w:gridCol w:w="5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9" w:hRule="atLeast"/>
          <w:tblCellSpacing w:w="15" w:type="dxa"/>
          <w:jc w:val="center"/>
        </w:trPr>
        <w:tc>
          <w:tcPr>
            <w:tcW w:w="3038" w:type="dxa"/>
            <w:gridSpan w:val="2"/>
            <w:vAlign w:val="center"/>
          </w:tcPr>
          <w:p>
            <w:pPr>
              <w:tabs>
                <w:tab w:val="left" w:pos="0"/>
              </w:tabs>
              <w:spacing w:line="400" w:lineRule="exact"/>
              <w:jc w:val="center"/>
              <w:rPr>
                <w:rFonts w:ascii="楷体" w:hAnsi="楷体" w:eastAsia="楷体" w:cs="楷体"/>
                <w:szCs w:val="21"/>
              </w:rPr>
            </w:pPr>
            <w:r>
              <w:rPr>
                <w:rFonts w:hint="eastAsia" w:ascii="楷体" w:hAnsi="楷体" w:eastAsia="楷体" w:cs="楷体"/>
                <w:szCs w:val="21"/>
              </w:rPr>
              <w:t>分类</w:t>
            </w:r>
          </w:p>
        </w:tc>
        <w:tc>
          <w:tcPr>
            <w:tcW w:w="5072" w:type="dxa"/>
            <w:vAlign w:val="center"/>
          </w:tcPr>
          <w:p>
            <w:pPr>
              <w:tabs>
                <w:tab w:val="left" w:pos="0"/>
              </w:tabs>
              <w:spacing w:line="400" w:lineRule="exact"/>
              <w:jc w:val="center"/>
              <w:rPr>
                <w:rFonts w:ascii="楷体" w:hAnsi="楷体" w:eastAsia="楷体" w:cs="楷体"/>
                <w:szCs w:val="21"/>
              </w:rPr>
            </w:pPr>
            <w:r>
              <w:rPr>
                <w:rFonts w:hint="eastAsia" w:ascii="楷体" w:hAnsi="楷体" w:eastAsia="楷体" w:cs="楷体"/>
                <w:szCs w:val="21"/>
              </w:rPr>
              <w:t>取值范围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blCellSpacing w:w="15" w:type="dxa"/>
          <w:jc w:val="center"/>
        </w:trPr>
        <w:tc>
          <w:tcPr>
            <w:tcW w:w="3038" w:type="dxa"/>
            <w:gridSpan w:val="2"/>
            <w:vAlign w:val="center"/>
          </w:tcPr>
          <w:p>
            <w:pPr>
              <w:tabs>
                <w:tab w:val="left" w:pos="0"/>
              </w:tabs>
              <w:spacing w:line="400" w:lineRule="exact"/>
              <w:jc w:val="center"/>
              <w:rPr>
                <w:rFonts w:ascii="楷体" w:hAnsi="楷体" w:eastAsia="楷体" w:cs="楷体"/>
                <w:szCs w:val="21"/>
              </w:rPr>
            </w:pPr>
            <w:r>
              <w:rPr>
                <w:rFonts w:hint="eastAsia" w:ascii="楷体" w:hAnsi="楷体" w:eastAsia="楷体" w:cs="楷体"/>
                <w:szCs w:val="21"/>
              </w:rPr>
              <w:t>下浮系数K</w:t>
            </w:r>
          </w:p>
        </w:tc>
        <w:tc>
          <w:tcPr>
            <w:tcW w:w="5072" w:type="dxa"/>
            <w:vAlign w:val="center"/>
          </w:tcPr>
          <w:p>
            <w:pPr>
              <w:tabs>
                <w:tab w:val="left" w:pos="0"/>
              </w:tabs>
              <w:spacing w:line="400" w:lineRule="exact"/>
              <w:rPr>
                <w:rFonts w:ascii="楷体" w:hAnsi="楷体" w:eastAsia="楷体" w:cs="楷体"/>
                <w:szCs w:val="21"/>
              </w:rPr>
            </w:pPr>
            <w:r>
              <w:rPr>
                <w:rFonts w:hint="eastAsia" w:ascii="楷体" w:hAnsi="楷体" w:eastAsia="楷体" w:cs="楷体"/>
                <w:szCs w:val="21"/>
              </w:rPr>
              <w:t>96%、96.5%、97%、97.5%、98%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blCellSpacing w:w="15" w:type="dxa"/>
          <w:jc w:val="center"/>
        </w:trPr>
        <w:tc>
          <w:tcPr>
            <w:tcW w:w="1135" w:type="dxa"/>
            <w:vMerge w:val="restart"/>
            <w:vAlign w:val="center"/>
          </w:tcPr>
          <w:p>
            <w:pPr>
              <w:tabs>
                <w:tab w:val="left" w:pos="0"/>
              </w:tabs>
              <w:spacing w:line="400" w:lineRule="exact"/>
              <w:jc w:val="center"/>
              <w:rPr>
                <w:rFonts w:ascii="楷体" w:hAnsi="楷体" w:eastAsia="楷体" w:cs="楷体"/>
                <w:szCs w:val="21"/>
              </w:rPr>
            </w:pPr>
            <w:r>
              <w:rPr>
                <w:rFonts w:hint="eastAsia" w:ascii="楷体" w:hAnsi="楷体" w:eastAsia="楷体" w:cs="楷体"/>
                <w:szCs w:val="21"/>
              </w:rPr>
              <w:t>下浮率Δ</w:t>
            </w:r>
          </w:p>
        </w:tc>
        <w:tc>
          <w:tcPr>
            <w:tcW w:w="1873" w:type="dxa"/>
            <w:vAlign w:val="center"/>
          </w:tcPr>
          <w:p>
            <w:pPr>
              <w:tabs>
                <w:tab w:val="left" w:pos="0"/>
              </w:tabs>
              <w:spacing w:line="400" w:lineRule="exact"/>
              <w:rPr>
                <w:rFonts w:ascii="楷体" w:hAnsi="楷体" w:eastAsia="楷体" w:cs="楷体"/>
                <w:szCs w:val="21"/>
              </w:rPr>
            </w:pPr>
            <w:r>
              <w:rPr>
                <w:rFonts w:hint="eastAsia" w:ascii="楷体" w:hAnsi="楷体" w:eastAsia="楷体" w:cs="楷体"/>
                <w:szCs w:val="21"/>
              </w:rPr>
              <w:t>房屋建筑工程</w:t>
            </w:r>
          </w:p>
        </w:tc>
        <w:tc>
          <w:tcPr>
            <w:tcW w:w="5072" w:type="dxa"/>
            <w:vAlign w:val="center"/>
          </w:tcPr>
          <w:p>
            <w:pPr>
              <w:tabs>
                <w:tab w:val="left" w:pos="0"/>
              </w:tabs>
              <w:spacing w:line="400" w:lineRule="exact"/>
              <w:rPr>
                <w:rFonts w:ascii="楷体" w:hAnsi="楷体" w:eastAsia="楷体" w:cs="楷体"/>
                <w:szCs w:val="21"/>
              </w:rPr>
            </w:pPr>
            <w:r>
              <w:rPr>
                <w:rFonts w:hint="eastAsia" w:ascii="楷体" w:hAnsi="楷体" w:eastAsia="楷体" w:cs="楷体"/>
                <w:szCs w:val="21"/>
              </w:rPr>
              <w:t>6%、7%、8%、9%、10%、11%、12%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15" w:type="dxa"/>
          <w:jc w:val="center"/>
        </w:trPr>
        <w:tc>
          <w:tcPr>
            <w:tcW w:w="1135" w:type="dxa"/>
            <w:vMerge w:val="continue"/>
            <w:vAlign w:val="center"/>
          </w:tcPr>
          <w:p>
            <w:pPr>
              <w:tabs>
                <w:tab w:val="left" w:pos="0"/>
              </w:tabs>
              <w:spacing w:line="400" w:lineRule="exact"/>
              <w:rPr>
                <w:rFonts w:ascii="楷体" w:hAnsi="楷体" w:eastAsia="楷体" w:cs="楷体"/>
                <w:szCs w:val="21"/>
              </w:rPr>
            </w:pPr>
          </w:p>
        </w:tc>
        <w:tc>
          <w:tcPr>
            <w:tcW w:w="1873" w:type="dxa"/>
            <w:vAlign w:val="center"/>
          </w:tcPr>
          <w:p>
            <w:pPr>
              <w:tabs>
                <w:tab w:val="left" w:pos="0"/>
              </w:tabs>
              <w:spacing w:line="400" w:lineRule="exact"/>
              <w:rPr>
                <w:rFonts w:ascii="楷体" w:hAnsi="楷体" w:eastAsia="楷体" w:cs="楷体"/>
                <w:szCs w:val="21"/>
              </w:rPr>
            </w:pPr>
            <w:r>
              <w:rPr>
                <w:rFonts w:hint="eastAsia" w:ascii="楷体" w:hAnsi="楷体" w:eastAsia="楷体" w:cs="楷体"/>
                <w:szCs w:val="21"/>
              </w:rPr>
              <w:t>装饰装修、建筑幕墙及钢结构工程</w:t>
            </w:r>
          </w:p>
        </w:tc>
        <w:tc>
          <w:tcPr>
            <w:tcW w:w="5072" w:type="dxa"/>
            <w:vAlign w:val="center"/>
          </w:tcPr>
          <w:p>
            <w:pPr>
              <w:tabs>
                <w:tab w:val="left" w:pos="0"/>
              </w:tabs>
              <w:spacing w:line="400" w:lineRule="exact"/>
              <w:rPr>
                <w:rFonts w:ascii="楷体" w:hAnsi="楷体" w:eastAsia="楷体" w:cs="楷体"/>
                <w:szCs w:val="21"/>
              </w:rPr>
            </w:pPr>
            <w:r>
              <w:rPr>
                <w:rFonts w:hint="eastAsia" w:ascii="楷体" w:hAnsi="楷体" w:eastAsia="楷体" w:cs="楷体"/>
                <w:szCs w:val="21"/>
              </w:rPr>
              <w:t>8%、9%、10%、11%、12%、13%、14%、15%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1" w:hRule="atLeast"/>
          <w:tblCellSpacing w:w="15" w:type="dxa"/>
          <w:jc w:val="center"/>
        </w:trPr>
        <w:tc>
          <w:tcPr>
            <w:tcW w:w="1135" w:type="dxa"/>
            <w:vMerge w:val="continue"/>
            <w:vAlign w:val="center"/>
          </w:tcPr>
          <w:p>
            <w:pPr>
              <w:tabs>
                <w:tab w:val="left" w:pos="0"/>
              </w:tabs>
              <w:spacing w:line="400" w:lineRule="exact"/>
              <w:rPr>
                <w:rFonts w:ascii="楷体" w:hAnsi="楷体" w:eastAsia="楷体" w:cs="楷体"/>
                <w:szCs w:val="21"/>
              </w:rPr>
            </w:pPr>
          </w:p>
        </w:tc>
        <w:tc>
          <w:tcPr>
            <w:tcW w:w="1873" w:type="dxa"/>
            <w:vAlign w:val="center"/>
          </w:tcPr>
          <w:p>
            <w:pPr>
              <w:tabs>
                <w:tab w:val="left" w:pos="0"/>
              </w:tabs>
              <w:spacing w:line="400" w:lineRule="exact"/>
              <w:rPr>
                <w:rFonts w:ascii="楷体" w:hAnsi="楷体" w:eastAsia="楷体" w:cs="楷体"/>
                <w:szCs w:val="21"/>
              </w:rPr>
            </w:pPr>
            <w:r>
              <w:rPr>
                <w:rFonts w:hint="eastAsia" w:ascii="楷体" w:hAnsi="楷体" w:eastAsia="楷体" w:cs="楷体"/>
                <w:szCs w:val="21"/>
              </w:rPr>
              <w:t>机电安装工程</w:t>
            </w:r>
          </w:p>
        </w:tc>
        <w:tc>
          <w:tcPr>
            <w:tcW w:w="5072" w:type="dxa"/>
            <w:vAlign w:val="center"/>
          </w:tcPr>
          <w:p>
            <w:pPr>
              <w:tabs>
                <w:tab w:val="left" w:pos="0"/>
              </w:tabs>
              <w:spacing w:line="400" w:lineRule="exact"/>
              <w:rPr>
                <w:rFonts w:ascii="楷体" w:hAnsi="楷体" w:eastAsia="楷体" w:cs="楷体"/>
                <w:szCs w:val="21"/>
              </w:rPr>
            </w:pPr>
            <w:r>
              <w:rPr>
                <w:rFonts w:hint="eastAsia" w:ascii="楷体" w:hAnsi="楷体" w:eastAsia="楷体" w:cs="楷体"/>
                <w:szCs w:val="21"/>
              </w:rPr>
              <w:t>9%、10%、11%、12%、13%、14%、15%、16%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blCellSpacing w:w="15" w:type="dxa"/>
          <w:jc w:val="center"/>
        </w:trPr>
        <w:tc>
          <w:tcPr>
            <w:tcW w:w="1135" w:type="dxa"/>
            <w:vMerge w:val="continue"/>
            <w:vAlign w:val="center"/>
          </w:tcPr>
          <w:p>
            <w:pPr>
              <w:tabs>
                <w:tab w:val="left" w:pos="0"/>
              </w:tabs>
              <w:spacing w:line="400" w:lineRule="exact"/>
              <w:rPr>
                <w:rFonts w:ascii="楷体" w:hAnsi="楷体" w:eastAsia="楷体" w:cs="楷体"/>
                <w:szCs w:val="21"/>
              </w:rPr>
            </w:pPr>
          </w:p>
        </w:tc>
        <w:tc>
          <w:tcPr>
            <w:tcW w:w="1873" w:type="dxa"/>
            <w:vAlign w:val="center"/>
          </w:tcPr>
          <w:p>
            <w:pPr>
              <w:tabs>
                <w:tab w:val="left" w:pos="0"/>
              </w:tabs>
              <w:spacing w:line="400" w:lineRule="exact"/>
              <w:rPr>
                <w:rFonts w:ascii="楷体" w:hAnsi="楷体" w:eastAsia="楷体" w:cs="楷体"/>
                <w:szCs w:val="21"/>
              </w:rPr>
            </w:pPr>
            <w:r>
              <w:rPr>
                <w:rFonts w:hint="eastAsia" w:ascii="楷体" w:hAnsi="楷体" w:eastAsia="楷体" w:cs="楷体"/>
                <w:szCs w:val="21"/>
              </w:rPr>
              <w:t>市政工程</w:t>
            </w:r>
          </w:p>
        </w:tc>
        <w:tc>
          <w:tcPr>
            <w:tcW w:w="5072" w:type="dxa"/>
            <w:vAlign w:val="center"/>
          </w:tcPr>
          <w:p>
            <w:pPr>
              <w:tabs>
                <w:tab w:val="left" w:pos="0"/>
              </w:tabs>
              <w:spacing w:line="400" w:lineRule="exact"/>
              <w:rPr>
                <w:rFonts w:ascii="楷体" w:hAnsi="楷体" w:eastAsia="楷体" w:cs="楷体"/>
                <w:szCs w:val="21"/>
              </w:rPr>
            </w:pPr>
            <w:r>
              <w:rPr>
                <w:rFonts w:hint="eastAsia" w:ascii="楷体" w:hAnsi="楷体" w:eastAsia="楷体" w:cs="楷体"/>
                <w:szCs w:val="21"/>
              </w:rPr>
              <w:t>12%、13%、14%、15%、16%、17%、18%、19%、20%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blCellSpacing w:w="15" w:type="dxa"/>
          <w:jc w:val="center"/>
        </w:trPr>
        <w:tc>
          <w:tcPr>
            <w:tcW w:w="1135" w:type="dxa"/>
            <w:vMerge w:val="continue"/>
            <w:vAlign w:val="center"/>
          </w:tcPr>
          <w:p>
            <w:pPr>
              <w:tabs>
                <w:tab w:val="left" w:pos="0"/>
              </w:tabs>
              <w:spacing w:line="400" w:lineRule="exact"/>
              <w:rPr>
                <w:rFonts w:ascii="楷体" w:hAnsi="楷体" w:eastAsia="楷体" w:cs="楷体"/>
                <w:szCs w:val="21"/>
              </w:rPr>
            </w:pPr>
          </w:p>
        </w:tc>
        <w:tc>
          <w:tcPr>
            <w:tcW w:w="1873" w:type="dxa"/>
            <w:vAlign w:val="center"/>
          </w:tcPr>
          <w:p>
            <w:pPr>
              <w:tabs>
                <w:tab w:val="left" w:pos="0"/>
              </w:tabs>
              <w:spacing w:line="400" w:lineRule="exact"/>
              <w:rPr>
                <w:rFonts w:ascii="楷体" w:hAnsi="楷体" w:eastAsia="楷体" w:cs="楷体"/>
                <w:szCs w:val="21"/>
              </w:rPr>
            </w:pPr>
            <w:r>
              <w:rPr>
                <w:rFonts w:hint="eastAsia" w:ascii="楷体" w:hAnsi="楷体" w:eastAsia="楷体" w:cs="楷体"/>
                <w:szCs w:val="21"/>
              </w:rPr>
              <w:t>绿化工程</w:t>
            </w:r>
          </w:p>
        </w:tc>
        <w:tc>
          <w:tcPr>
            <w:tcW w:w="5072" w:type="dxa"/>
            <w:vAlign w:val="center"/>
          </w:tcPr>
          <w:p>
            <w:pPr>
              <w:tabs>
                <w:tab w:val="left" w:pos="0"/>
              </w:tabs>
              <w:spacing w:line="400" w:lineRule="exact"/>
              <w:rPr>
                <w:rFonts w:ascii="楷体" w:hAnsi="楷体" w:eastAsia="楷体" w:cs="楷体"/>
                <w:szCs w:val="21"/>
              </w:rPr>
            </w:pPr>
            <w:r>
              <w:rPr>
                <w:rFonts w:hint="eastAsia" w:ascii="楷体" w:hAnsi="楷体" w:eastAsia="楷体" w:cs="楷体"/>
                <w:szCs w:val="21"/>
              </w:rPr>
              <w:t>17%、18%、19%、20%、21%、22%、23%、24%、25%</w:t>
            </w:r>
          </w:p>
        </w:tc>
      </w:tr>
    </w:tbl>
    <w:p>
      <w:pPr>
        <w:spacing w:line="400" w:lineRule="exact"/>
        <w:ind w:firstLine="420" w:firstLineChars="200"/>
        <w:jc w:val="left"/>
        <w:rPr>
          <w:rFonts w:ascii="楷体" w:hAnsi="楷体" w:eastAsia="楷体" w:cs="楷体"/>
          <w:vanish/>
          <w:szCs w:val="21"/>
        </w:rPr>
      </w:pPr>
    </w:p>
    <w:p>
      <w:pPr>
        <w:spacing w:line="400" w:lineRule="exact"/>
        <w:ind w:firstLine="420" w:firstLineChars="200"/>
        <w:jc w:val="left"/>
        <w:rPr>
          <w:rFonts w:ascii="楷体" w:hAnsi="楷体" w:eastAsia="楷体" w:cs="楷体"/>
          <w:szCs w:val="21"/>
        </w:rPr>
      </w:pPr>
      <w:r>
        <w:rPr>
          <w:rFonts w:hint="eastAsia" w:ascii="楷体" w:hAnsi="楷体" w:eastAsia="楷体" w:cs="楷体"/>
          <w:szCs w:val="21"/>
        </w:rPr>
        <w:t>扣分标准：投标报价等于评标基准价的得满分，投标报价相对评标基准价每低1%扣</w:t>
      </w:r>
      <w:r>
        <w:rPr>
          <w:rFonts w:hint="eastAsia" w:ascii="楷体" w:hAnsi="楷体" w:eastAsia="楷体" w:cs="楷体"/>
          <w:szCs w:val="21"/>
          <w:u w:val="single"/>
        </w:rPr>
        <w:t>0.6</w:t>
      </w:r>
      <w:r>
        <w:rPr>
          <w:rFonts w:hint="eastAsia" w:ascii="楷体" w:hAnsi="楷体" w:eastAsia="楷体" w:cs="楷体"/>
          <w:szCs w:val="21"/>
        </w:rPr>
        <w:t>分，每高1%扣</w:t>
      </w:r>
      <w:r>
        <w:rPr>
          <w:rFonts w:hint="eastAsia" w:ascii="楷体" w:hAnsi="楷体" w:eastAsia="楷体" w:cs="楷体"/>
          <w:szCs w:val="21"/>
          <w:u w:val="single"/>
        </w:rPr>
        <w:t>0.9</w:t>
      </w:r>
      <w:r>
        <w:rPr>
          <w:rFonts w:hint="eastAsia" w:ascii="楷体" w:hAnsi="楷体" w:eastAsia="楷体" w:cs="楷体"/>
          <w:szCs w:val="21"/>
        </w:rPr>
        <w:t>分；偏离不足1%的，按照插入法计算得分。</w:t>
      </w:r>
    </w:p>
    <w:p>
      <w:pPr>
        <w:spacing w:line="400" w:lineRule="exact"/>
        <w:ind w:firstLine="420" w:firstLineChars="200"/>
        <w:jc w:val="left"/>
        <w:rPr>
          <w:rFonts w:ascii="楷体" w:hAnsi="楷体" w:eastAsia="楷体" w:cs="楷体"/>
          <w:kern w:val="0"/>
          <w:szCs w:val="21"/>
        </w:rPr>
      </w:pPr>
      <w:r>
        <w:rPr>
          <w:rFonts w:hint="eastAsia" w:ascii="楷体" w:hAnsi="楷体" w:eastAsia="楷体" w:cs="楷体"/>
          <w:b/>
          <w:kern w:val="0"/>
          <w:szCs w:val="21"/>
        </w:rPr>
        <w:t>（五）投标人得分</w:t>
      </w:r>
    </w:p>
    <w:p>
      <w:pPr>
        <w:spacing w:line="400" w:lineRule="exact"/>
        <w:ind w:firstLine="420" w:firstLineChars="200"/>
        <w:rPr>
          <w:rFonts w:ascii="楷体" w:hAnsi="楷体" w:eastAsia="楷体" w:cs="楷体"/>
          <w:szCs w:val="21"/>
        </w:rPr>
      </w:pPr>
      <w:r>
        <w:rPr>
          <w:rFonts w:hint="eastAsia" w:ascii="楷体" w:hAnsi="楷体" w:eastAsia="楷体" w:cs="楷体"/>
          <w:szCs w:val="21"/>
        </w:rPr>
        <w:t>1、评标委员会按本章“</w:t>
      </w:r>
      <w:r>
        <w:rPr>
          <w:rFonts w:hint="eastAsia" w:ascii="楷体" w:hAnsi="楷体" w:eastAsia="楷体" w:cs="楷体"/>
          <w:bCs/>
          <w:szCs w:val="21"/>
        </w:rPr>
        <w:t>盐城</w:t>
      </w:r>
      <w:r>
        <w:rPr>
          <w:rFonts w:hint="eastAsia" w:ascii="楷体" w:hAnsi="楷体" w:eastAsia="楷体" w:cs="楷体"/>
          <w:szCs w:val="21"/>
        </w:rPr>
        <w:t>ABCD合成法”对各项的量化因素和分值进行打分，并计算出综合评估得分。</w:t>
      </w:r>
    </w:p>
    <w:p>
      <w:pPr>
        <w:spacing w:line="400" w:lineRule="exact"/>
        <w:ind w:firstLine="420" w:firstLineChars="200"/>
        <w:jc w:val="left"/>
        <w:rPr>
          <w:rFonts w:ascii="楷体" w:hAnsi="楷体" w:eastAsia="楷体" w:cs="楷体"/>
          <w:szCs w:val="21"/>
        </w:rPr>
      </w:pPr>
      <w:r>
        <w:rPr>
          <w:rFonts w:hint="eastAsia" w:ascii="楷体" w:hAnsi="楷体" w:eastAsia="楷体" w:cs="楷体"/>
          <w:szCs w:val="21"/>
        </w:rPr>
        <w:t>（1）按第（四）项评标基准价及投标报价得分，规定的评审因素和分值对投标报价计算出得分a；</w:t>
      </w:r>
    </w:p>
    <w:p>
      <w:pPr>
        <w:spacing w:line="400" w:lineRule="exact"/>
        <w:ind w:firstLine="420" w:firstLineChars="200"/>
        <w:rPr>
          <w:rFonts w:ascii="楷体" w:hAnsi="楷体" w:eastAsia="楷体" w:cs="楷体"/>
          <w:szCs w:val="21"/>
        </w:rPr>
      </w:pPr>
      <w:r>
        <w:rPr>
          <w:rFonts w:hint="eastAsia" w:ascii="楷体" w:hAnsi="楷体" w:eastAsia="楷体" w:cs="楷体"/>
          <w:szCs w:val="21"/>
        </w:rPr>
        <w:t>2、评分分值计算过程中保留小数点后三位，小数点后第四位“四舍五入”。最终得分保留小数点后两位，第三位“四舍五入” 。</w:t>
      </w:r>
    </w:p>
    <w:p>
      <w:pPr>
        <w:spacing w:line="400" w:lineRule="exact"/>
        <w:ind w:firstLine="420" w:firstLineChars="200"/>
        <w:rPr>
          <w:rFonts w:ascii="楷体" w:hAnsi="楷体" w:eastAsia="楷体" w:cs="楷体"/>
          <w:szCs w:val="21"/>
        </w:rPr>
      </w:pPr>
      <w:r>
        <w:rPr>
          <w:rFonts w:hint="eastAsia" w:ascii="楷体" w:hAnsi="楷体" w:eastAsia="楷体" w:cs="楷体"/>
          <w:szCs w:val="21"/>
        </w:rPr>
        <w:t>3、投标人得分=a。</w:t>
      </w:r>
    </w:p>
    <w:p>
      <w:pPr>
        <w:spacing w:line="400" w:lineRule="exact"/>
        <w:ind w:firstLine="420" w:firstLineChars="200"/>
        <w:jc w:val="left"/>
        <w:rPr>
          <w:rFonts w:ascii="楷体" w:hAnsi="楷体" w:eastAsia="楷体" w:cs="楷体"/>
          <w:b/>
          <w:kern w:val="0"/>
          <w:szCs w:val="21"/>
        </w:rPr>
      </w:pPr>
      <w:r>
        <w:rPr>
          <w:rFonts w:hint="eastAsia" w:ascii="楷体" w:hAnsi="楷体" w:eastAsia="楷体" w:cs="楷体"/>
          <w:b/>
          <w:kern w:val="0"/>
          <w:szCs w:val="21"/>
        </w:rPr>
        <w:t>（六）资格审查</w:t>
      </w:r>
    </w:p>
    <w:p>
      <w:pPr>
        <w:spacing w:line="400" w:lineRule="exact"/>
        <w:ind w:firstLine="420" w:firstLineChars="200"/>
        <w:rPr>
          <w:rFonts w:ascii="楷体" w:hAnsi="楷体" w:eastAsia="楷体" w:cs="楷体"/>
          <w:szCs w:val="21"/>
        </w:rPr>
      </w:pPr>
      <w:r>
        <w:rPr>
          <w:rFonts w:hint="eastAsia" w:ascii="楷体" w:hAnsi="楷体" w:eastAsia="楷体" w:cs="楷体"/>
          <w:szCs w:val="21"/>
        </w:rPr>
        <w:t>评标委员会对前面评审得分由高到低的投标文件按以下顺序进行，上一阶段未通过的不进入下一阶段评审，直至选出3名合格的中标候选人：</w:t>
      </w:r>
    </w:p>
    <w:p>
      <w:pPr>
        <w:spacing w:line="400" w:lineRule="exact"/>
        <w:ind w:firstLine="420" w:firstLineChars="200"/>
        <w:rPr>
          <w:rFonts w:ascii="楷体" w:hAnsi="楷体" w:eastAsia="楷体" w:cs="楷体"/>
          <w:b/>
          <w:bCs/>
          <w:szCs w:val="21"/>
        </w:rPr>
      </w:pPr>
      <w:r>
        <w:rPr>
          <w:rFonts w:hint="eastAsia" w:ascii="楷体" w:hAnsi="楷体" w:eastAsia="楷体" w:cs="楷体"/>
          <w:b/>
          <w:szCs w:val="21"/>
        </w:rPr>
        <w:t>1、初步评审</w:t>
      </w:r>
    </w:p>
    <w:p>
      <w:pPr>
        <w:spacing w:line="400" w:lineRule="exact"/>
        <w:ind w:firstLine="420" w:firstLineChars="200"/>
        <w:rPr>
          <w:rFonts w:ascii="楷体" w:hAnsi="楷体" w:eastAsia="楷体" w:cs="楷体"/>
          <w:b/>
          <w:szCs w:val="21"/>
        </w:rPr>
      </w:pPr>
      <w:r>
        <w:rPr>
          <w:rFonts w:hint="eastAsia" w:ascii="楷体" w:hAnsi="楷体" w:eastAsia="楷体" w:cs="楷体"/>
          <w:b/>
          <w:szCs w:val="21"/>
        </w:rPr>
        <w:t>1.1形式评审标准</w:t>
      </w:r>
    </w:p>
    <w:p>
      <w:pPr>
        <w:spacing w:line="400" w:lineRule="exact"/>
        <w:ind w:firstLine="420" w:firstLineChars="200"/>
        <w:rPr>
          <w:rFonts w:ascii="楷体" w:hAnsi="楷体" w:eastAsia="楷体" w:cs="楷体"/>
          <w:szCs w:val="21"/>
        </w:rPr>
      </w:pPr>
      <w:r>
        <w:rPr>
          <w:rFonts w:hint="eastAsia" w:ascii="楷体" w:hAnsi="楷体" w:eastAsia="楷体" w:cs="楷体"/>
          <w:szCs w:val="21"/>
        </w:rPr>
        <w:t>对投标文件的有效性、完整性进行评审。</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56"/>
        <w:gridCol w:w="52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b/>
                <w:szCs w:val="21"/>
              </w:rPr>
            </w:pPr>
            <w:r>
              <w:rPr>
                <w:rFonts w:hint="eastAsia" w:ascii="楷体" w:hAnsi="楷体" w:eastAsia="楷体" w:cs="楷体"/>
                <w:b/>
                <w:szCs w:val="21"/>
              </w:rPr>
              <w:t>评审因素</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b/>
                <w:szCs w:val="21"/>
              </w:rPr>
            </w:pPr>
            <w:r>
              <w:rPr>
                <w:rFonts w:hint="eastAsia" w:ascii="楷体" w:hAnsi="楷体" w:eastAsia="楷体" w:cs="楷体"/>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b/>
                <w:szCs w:val="21"/>
              </w:rPr>
            </w:pPr>
            <w:r>
              <w:rPr>
                <w:rFonts w:hint="eastAsia" w:ascii="楷体" w:hAnsi="楷体" w:eastAsia="楷体" w:cs="楷体"/>
                <w:szCs w:val="21"/>
              </w:rPr>
              <w:t>投标人名称</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rPr>
                <w:rFonts w:ascii="楷体" w:hAnsi="楷体" w:eastAsia="楷体" w:cs="楷体"/>
                <w:b/>
                <w:szCs w:val="21"/>
              </w:rPr>
            </w:pPr>
            <w:r>
              <w:rPr>
                <w:rFonts w:hint="eastAsia" w:ascii="楷体" w:hAnsi="楷体" w:eastAsia="楷体" w:cs="楷体"/>
                <w:szCs w:val="21"/>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265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szCs w:val="21"/>
              </w:rPr>
            </w:pPr>
            <w:r>
              <w:rPr>
                <w:rFonts w:hint="eastAsia" w:ascii="楷体" w:hAnsi="楷体" w:eastAsia="楷体" w:cs="楷体"/>
                <w:szCs w:val="21"/>
              </w:rPr>
              <w:t>投标文件格式</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rPr>
                <w:rFonts w:ascii="楷体" w:hAnsi="楷体" w:eastAsia="楷体" w:cs="楷体"/>
                <w:szCs w:val="21"/>
              </w:rPr>
            </w:pPr>
            <w:r>
              <w:rPr>
                <w:rFonts w:hint="eastAsia" w:ascii="楷体" w:hAnsi="楷体" w:eastAsia="楷体" w:cs="楷体"/>
                <w:szCs w:val="21"/>
              </w:rPr>
              <w:t>符合投标文件格式要求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26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 w:hAnsi="楷体" w:eastAsia="楷体" w:cs="楷体"/>
                <w:szCs w:val="21"/>
              </w:rPr>
            </w:pPr>
            <w:r>
              <w:rPr>
                <w:rFonts w:hint="eastAsia" w:ascii="楷体" w:hAnsi="楷体" w:eastAsia="楷体" w:cs="楷体"/>
                <w:szCs w:val="21"/>
              </w:rPr>
              <w:t>投标承诺函</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rPr>
                <w:rFonts w:ascii="楷体" w:hAnsi="楷体" w:eastAsia="楷体" w:cs="楷体"/>
                <w:szCs w:val="21"/>
              </w:rPr>
            </w:pPr>
            <w:r>
              <w:rPr>
                <w:rFonts w:hint="eastAsia" w:ascii="楷体" w:hAnsi="楷体" w:eastAsia="楷体" w:cs="楷体"/>
                <w:szCs w:val="21"/>
              </w:rPr>
              <w:t>有法定代表人或其委托代理人签字（或盖章）并加盖投标单位公章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65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szCs w:val="21"/>
              </w:rPr>
            </w:pPr>
            <w:r>
              <w:rPr>
                <w:rFonts w:hint="eastAsia" w:ascii="楷体" w:hAnsi="楷体" w:eastAsia="楷体" w:cs="楷体"/>
                <w:szCs w:val="21"/>
              </w:rPr>
              <w:t>授权委托书</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rPr>
                <w:rFonts w:ascii="楷体" w:hAnsi="楷体" w:eastAsia="楷体" w:cs="楷体"/>
                <w:szCs w:val="21"/>
              </w:rPr>
            </w:pPr>
            <w:r>
              <w:rPr>
                <w:rFonts w:hint="eastAsia" w:ascii="楷体" w:hAnsi="楷体" w:eastAsia="楷体" w:cs="楷体"/>
                <w:szCs w:val="21"/>
              </w:rPr>
              <w:t>有法定代表人签字（或盖章）并加盖投标单位公章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6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 w:hAnsi="楷体" w:eastAsia="楷体" w:cs="楷体"/>
                <w:szCs w:val="21"/>
              </w:rPr>
            </w:pPr>
            <w:r>
              <w:rPr>
                <w:rFonts w:hint="eastAsia" w:ascii="楷体" w:hAnsi="楷体" w:eastAsia="楷体" w:cs="楷体"/>
                <w:szCs w:val="21"/>
              </w:rPr>
              <w:t>报价唯一</w:t>
            </w:r>
          </w:p>
        </w:tc>
        <w:tc>
          <w:tcPr>
            <w:tcW w:w="525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楷体" w:hAnsi="楷体" w:eastAsia="楷体" w:cs="楷体"/>
                <w:szCs w:val="21"/>
              </w:rPr>
            </w:pPr>
            <w:r>
              <w:rPr>
                <w:rFonts w:hint="eastAsia" w:ascii="楷体" w:hAnsi="楷体" w:eastAsia="楷体" w:cs="楷体"/>
                <w:szCs w:val="21"/>
              </w:rPr>
              <w:t>只能有一个有效报价</w:t>
            </w:r>
          </w:p>
        </w:tc>
      </w:tr>
    </w:tbl>
    <w:p>
      <w:pPr>
        <w:spacing w:line="400" w:lineRule="exact"/>
        <w:ind w:firstLine="420" w:firstLineChars="200"/>
        <w:rPr>
          <w:rFonts w:ascii="楷体" w:hAnsi="楷体" w:eastAsia="楷体" w:cs="楷体"/>
          <w:b/>
          <w:szCs w:val="21"/>
        </w:rPr>
      </w:pPr>
      <w:r>
        <w:rPr>
          <w:rFonts w:hint="eastAsia" w:ascii="楷体" w:hAnsi="楷体" w:eastAsia="楷体" w:cs="楷体"/>
          <w:b/>
          <w:szCs w:val="21"/>
        </w:rPr>
        <w:t>1.2资格审查（资格后审）</w:t>
      </w:r>
    </w:p>
    <w:p>
      <w:pPr>
        <w:spacing w:line="400" w:lineRule="exact"/>
        <w:ind w:firstLine="420" w:firstLineChars="200"/>
        <w:rPr>
          <w:rFonts w:ascii="楷体" w:hAnsi="楷体" w:eastAsia="楷体" w:cs="楷体"/>
          <w:szCs w:val="21"/>
        </w:rPr>
      </w:pPr>
      <w:r>
        <w:rPr>
          <w:rFonts w:hint="eastAsia" w:ascii="楷体" w:hAnsi="楷体" w:eastAsia="楷体" w:cs="楷体"/>
          <w:szCs w:val="21"/>
        </w:rPr>
        <w:t>评标委员会对通过上一阶段评审的投标人资格对照招标文件中</w:t>
      </w:r>
      <w:r>
        <w:rPr>
          <w:rFonts w:hint="eastAsia" w:ascii="楷体" w:hAnsi="楷体" w:eastAsia="楷体" w:cs="楷体"/>
          <w:b/>
          <w:szCs w:val="21"/>
        </w:rPr>
        <w:t>投标人资格要求</w:t>
      </w:r>
      <w:r>
        <w:rPr>
          <w:rFonts w:hint="eastAsia" w:ascii="楷体" w:hAnsi="楷体" w:eastAsia="楷体" w:cs="楷体"/>
          <w:szCs w:val="21"/>
        </w:rPr>
        <w:t>的规定要求进行审查，只有通过资格审查的投标人方可进行下一阶段的评审。</w:t>
      </w:r>
    </w:p>
    <w:tbl>
      <w:tblPr>
        <w:tblStyle w:val="18"/>
        <w:tblW w:w="79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00"/>
        <w:gridCol w:w="52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szCs w:val="21"/>
              </w:rPr>
            </w:pPr>
            <w:r>
              <w:rPr>
                <w:rFonts w:hint="eastAsia" w:ascii="楷体" w:hAnsi="楷体" w:eastAsia="楷体" w:cs="楷体"/>
                <w:szCs w:val="21"/>
              </w:rPr>
              <w:t>评审因素</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szCs w:val="21"/>
              </w:rPr>
            </w:pPr>
            <w:r>
              <w:rPr>
                <w:rFonts w:hint="eastAsia" w:ascii="楷体" w:hAnsi="楷体" w:eastAsia="楷体" w:cs="楷体"/>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szCs w:val="21"/>
              </w:rPr>
            </w:pPr>
            <w:r>
              <w:rPr>
                <w:rFonts w:hint="eastAsia" w:ascii="楷体" w:hAnsi="楷体" w:eastAsia="楷体" w:cs="楷体"/>
                <w:szCs w:val="21"/>
              </w:rPr>
              <w:t>营业执照</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szCs w:val="21"/>
              </w:rPr>
            </w:pPr>
            <w:r>
              <w:rPr>
                <w:rFonts w:hint="eastAsia" w:ascii="楷体" w:hAnsi="楷体" w:eastAsia="楷体" w:cs="楷体"/>
                <w:szCs w:val="21"/>
              </w:rPr>
              <w:t>提供有效的营业执照原件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szCs w:val="21"/>
              </w:rPr>
            </w:pPr>
            <w:r>
              <w:rPr>
                <w:rFonts w:hint="eastAsia" w:ascii="楷体" w:hAnsi="楷体" w:eastAsia="楷体" w:cs="楷体"/>
                <w:szCs w:val="21"/>
              </w:rPr>
              <w:t>安全生产许可证</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szCs w:val="21"/>
              </w:rPr>
            </w:pPr>
            <w:r>
              <w:rPr>
                <w:rFonts w:hint="eastAsia" w:ascii="楷体" w:hAnsi="楷体" w:eastAsia="楷体" w:cs="楷体"/>
                <w:szCs w:val="21"/>
              </w:rPr>
              <w:t>提供有效的安全生产许可证原件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 w:hAnsi="楷体" w:eastAsia="楷体" w:cs="楷体"/>
                <w:szCs w:val="21"/>
              </w:rPr>
            </w:pPr>
            <w:r>
              <w:rPr>
                <w:rFonts w:hint="eastAsia" w:ascii="楷体" w:hAnsi="楷体" w:eastAsia="楷体" w:cs="楷体"/>
                <w:szCs w:val="21"/>
              </w:rPr>
              <w:t>资质等级</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szCs w:val="21"/>
              </w:rPr>
            </w:pPr>
            <w:r>
              <w:rPr>
                <w:rFonts w:hint="eastAsia" w:ascii="楷体" w:hAnsi="楷体" w:eastAsia="楷体" w:cs="楷体"/>
                <w:szCs w:val="21"/>
              </w:rPr>
              <w:t>提供建设行政主管部门核发的建筑工程施工总承包三级及以上资质或建筑装修装饰工程专业承包二级及以上资质或有效期内的建筑装饰装修工程设计与施工一体化三级及以上资质证书原件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楷体" w:hAnsi="楷体" w:eastAsia="楷体" w:cs="楷体"/>
                <w:szCs w:val="21"/>
              </w:rPr>
            </w:pPr>
            <w:r>
              <w:rPr>
                <w:rFonts w:hint="eastAsia" w:ascii="楷体" w:hAnsi="楷体" w:eastAsia="楷体" w:cs="楷体"/>
                <w:szCs w:val="21"/>
              </w:rPr>
              <w:t>项目负责人</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szCs w:val="21"/>
              </w:rPr>
            </w:pPr>
            <w:r>
              <w:rPr>
                <w:rFonts w:hint="eastAsia" w:ascii="楷体" w:hAnsi="楷体" w:eastAsia="楷体" w:cs="楷体"/>
                <w:szCs w:val="21"/>
              </w:rPr>
              <w:t>提供建筑工程专业二级及以上建造师注册证书原件和安全生产考核合格证书（B类）原件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270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szCs w:val="21"/>
              </w:rPr>
            </w:pPr>
            <w:r>
              <w:rPr>
                <w:rFonts w:hint="eastAsia" w:ascii="楷体" w:hAnsi="楷体" w:eastAsia="楷体" w:cs="楷体"/>
                <w:szCs w:val="21"/>
              </w:rPr>
              <w:t>其他要求</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楷体" w:hAnsi="楷体" w:eastAsia="楷体" w:cs="楷体"/>
                <w:szCs w:val="21"/>
              </w:rPr>
            </w:pPr>
            <w:r>
              <w:rPr>
                <w:rFonts w:hint="eastAsia" w:ascii="楷体" w:hAnsi="楷体" w:eastAsia="楷体" w:cs="楷体"/>
                <w:szCs w:val="21"/>
              </w:rPr>
              <w:t>符合投标人资格要求规定</w:t>
            </w:r>
          </w:p>
        </w:tc>
      </w:tr>
    </w:tbl>
    <w:p>
      <w:pPr>
        <w:spacing w:line="400" w:lineRule="exact"/>
        <w:ind w:firstLine="420" w:firstLineChars="200"/>
        <w:jc w:val="left"/>
        <w:rPr>
          <w:rFonts w:ascii="楷体" w:hAnsi="楷体" w:eastAsia="楷体" w:cs="楷体"/>
          <w:szCs w:val="21"/>
        </w:rPr>
      </w:pPr>
      <w:r>
        <w:rPr>
          <w:rFonts w:hint="eastAsia" w:ascii="楷体" w:hAnsi="楷体" w:eastAsia="楷体" w:cs="楷体"/>
          <w:szCs w:val="21"/>
        </w:rPr>
        <w:t>注：能有效识别二维码的复印件加盖证书持有单位公章和能有效识别二维码的电子证书加盖证书持有单位公章可视为原件。</w:t>
      </w:r>
    </w:p>
    <w:p>
      <w:pPr>
        <w:spacing w:line="400" w:lineRule="exact"/>
        <w:ind w:firstLine="420" w:firstLineChars="200"/>
        <w:rPr>
          <w:rFonts w:ascii="楷体" w:hAnsi="楷体" w:eastAsia="楷体" w:cs="楷体"/>
          <w:b/>
          <w:szCs w:val="21"/>
        </w:rPr>
      </w:pPr>
      <w:r>
        <w:rPr>
          <w:rFonts w:hint="eastAsia" w:ascii="楷体" w:hAnsi="楷体" w:eastAsia="楷体" w:cs="楷体"/>
          <w:b/>
          <w:szCs w:val="21"/>
        </w:rPr>
        <w:t>1.3响应性审查</w:t>
      </w:r>
    </w:p>
    <w:p>
      <w:pPr>
        <w:spacing w:line="400" w:lineRule="exact"/>
        <w:ind w:firstLine="420" w:firstLineChars="200"/>
        <w:jc w:val="left"/>
        <w:rPr>
          <w:rFonts w:ascii="楷体" w:hAnsi="楷体" w:eastAsia="楷体" w:cs="楷体"/>
          <w:szCs w:val="21"/>
        </w:rPr>
      </w:pPr>
      <w:r>
        <w:rPr>
          <w:rFonts w:hint="eastAsia" w:ascii="楷体" w:hAnsi="楷体" w:eastAsia="楷体" w:cs="楷体"/>
          <w:szCs w:val="21"/>
        </w:rPr>
        <w:t>对招标文件要求的工期、质量标准、投标保证金、投标有效期、已标价工程量清单、暂定价、不可竞争费用、技术标准和要求等实质性要求的响应性进行评审。</w:t>
      </w:r>
    </w:p>
    <w:p>
      <w:pPr>
        <w:spacing w:line="400" w:lineRule="exact"/>
        <w:ind w:firstLine="420" w:firstLineChars="200"/>
        <w:jc w:val="left"/>
        <w:rPr>
          <w:rFonts w:ascii="楷体" w:hAnsi="楷体" w:eastAsia="楷体" w:cs="楷体"/>
          <w:b/>
          <w:kern w:val="0"/>
          <w:szCs w:val="21"/>
        </w:rPr>
      </w:pPr>
      <w:r>
        <w:rPr>
          <w:rFonts w:hint="eastAsia" w:ascii="楷体" w:hAnsi="楷体" w:eastAsia="楷体" w:cs="楷体"/>
          <w:b/>
          <w:kern w:val="0"/>
          <w:szCs w:val="21"/>
        </w:rPr>
        <w:t>（七）定标补充规定</w:t>
      </w:r>
    </w:p>
    <w:p>
      <w:pPr>
        <w:spacing w:line="500" w:lineRule="exact"/>
        <w:ind w:left="37" w:leftChars="18" w:firstLine="443" w:firstLineChars="211"/>
        <w:rPr>
          <w:rFonts w:ascii="楷体" w:hAnsi="楷体" w:eastAsia="楷体" w:cs="楷体"/>
          <w:kern w:val="0"/>
          <w:szCs w:val="21"/>
        </w:rPr>
      </w:pPr>
      <w:r>
        <w:rPr>
          <w:rFonts w:hint="eastAsia" w:ascii="楷体" w:hAnsi="楷体" w:eastAsia="楷体" w:cs="楷体"/>
          <w:kern w:val="0"/>
          <w:szCs w:val="21"/>
        </w:rPr>
        <w:t>1、上述各项得分相加即为投标人评标总分，按评标总分由高到低推荐3名中标候选人，若最终累计评标得分并列的，须明确中标候选人或需对中标候选人排序的，比较小数点后第三位值大小，得分高的排名靠前，若第三位仍相同的，由评标委员会按投标报价由低到高进行排序；如投标报价仍相同的，由招标人确定排序。</w:t>
      </w:r>
    </w:p>
    <w:p>
      <w:pPr>
        <w:spacing w:line="500" w:lineRule="exact"/>
        <w:ind w:left="37" w:leftChars="18" w:firstLine="443" w:firstLineChars="211"/>
        <w:rPr>
          <w:rFonts w:ascii="楷体" w:hAnsi="楷体" w:eastAsia="楷体" w:cs="楷体"/>
          <w:kern w:val="0"/>
          <w:szCs w:val="21"/>
        </w:rPr>
      </w:pPr>
      <w:r>
        <w:rPr>
          <w:rFonts w:hint="eastAsia" w:ascii="楷体" w:hAnsi="楷体" w:eastAsia="楷体" w:cs="楷体"/>
          <w:kern w:val="0"/>
          <w:szCs w:val="21"/>
        </w:rPr>
        <w:t>招标人根据评标委员会推荐的中标候选人，确定排名第一的中标候选人为最终中标人。</w:t>
      </w:r>
    </w:p>
    <w:p>
      <w:pPr>
        <w:spacing w:line="500" w:lineRule="exact"/>
        <w:ind w:left="37" w:leftChars="18" w:firstLine="443" w:firstLineChars="211"/>
        <w:rPr>
          <w:rFonts w:ascii="楷体" w:hAnsi="楷体" w:eastAsia="楷体" w:cs="楷体"/>
          <w:kern w:val="0"/>
          <w:szCs w:val="21"/>
        </w:rPr>
      </w:pPr>
      <w:r>
        <w:rPr>
          <w:rFonts w:hint="eastAsia" w:ascii="楷体" w:hAnsi="楷体" w:eastAsia="楷体" w:cs="楷体"/>
          <w:kern w:val="0"/>
          <w:szCs w:val="21"/>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left="37" w:leftChars="18" w:firstLine="443" w:firstLineChars="211"/>
        <w:rPr>
          <w:rFonts w:ascii="楷体" w:hAnsi="楷体" w:eastAsia="楷体" w:cs="楷体"/>
          <w:kern w:val="0"/>
          <w:szCs w:val="21"/>
        </w:rPr>
      </w:pPr>
      <w:r>
        <w:rPr>
          <w:rFonts w:hint="eastAsia" w:ascii="楷体" w:hAnsi="楷体" w:eastAsia="楷体" w:cs="楷体"/>
          <w:kern w:val="0"/>
          <w:szCs w:val="21"/>
        </w:rPr>
        <w:t>对不中标的投标人，招标人有权不作任何解释。</w:t>
      </w:r>
    </w:p>
    <w:p>
      <w:pPr>
        <w:spacing w:line="400" w:lineRule="exact"/>
        <w:ind w:firstLine="420" w:firstLineChars="200"/>
        <w:rPr>
          <w:rFonts w:ascii="楷体" w:hAnsi="楷体" w:eastAsia="楷体" w:cs="楷体"/>
          <w:szCs w:val="21"/>
        </w:rPr>
      </w:pPr>
      <w:r>
        <w:rPr>
          <w:rFonts w:hint="eastAsia" w:ascii="楷体" w:hAnsi="楷体" w:eastAsia="楷体" w:cs="楷体"/>
          <w:b/>
          <w:bCs/>
          <w:szCs w:val="21"/>
        </w:rPr>
        <w:t>三、其它</w:t>
      </w:r>
    </w:p>
    <w:p>
      <w:pPr>
        <w:spacing w:line="400" w:lineRule="exact"/>
        <w:ind w:firstLine="420" w:firstLineChars="200"/>
        <w:jc w:val="left"/>
        <w:rPr>
          <w:rFonts w:ascii="楷体" w:hAnsi="楷体" w:eastAsia="楷体" w:cs="楷体"/>
          <w:szCs w:val="21"/>
        </w:rPr>
      </w:pPr>
      <w:r>
        <w:rPr>
          <w:rFonts w:hint="eastAsia" w:ascii="楷体" w:hAnsi="楷体" w:eastAsia="楷体" w:cs="楷体"/>
          <w:szCs w:val="21"/>
        </w:rPr>
        <w:t>1、本办法未述及的事宜，由评标委员会依据法律法规处置。</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ascii="楷体" w:hAnsi="楷体" w:eastAsia="楷体" w:cs="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ascii="楷体" w:hAnsi="楷体" w:eastAsia="楷体" w:cs="楷体"/>
          <w:sz w:val="24"/>
        </w:rPr>
      </w:pPr>
    </w:p>
    <w:p>
      <w:pPr>
        <w:pStyle w:val="2"/>
        <w:ind w:firstLine="422"/>
      </w:pPr>
    </w:p>
    <w:p>
      <w:pPr>
        <w:pStyle w:val="17"/>
        <w:spacing w:before="0" w:beforeAutospacing="0" w:after="0" w:afterAutospacing="0" w:line="420" w:lineRule="exact"/>
        <w:jc w:val="both"/>
        <w:textAlignment w:val="baseline"/>
        <w:rPr>
          <w:rFonts w:ascii="楷体" w:hAnsi="楷体" w:eastAsia="楷体" w:cs="楷体"/>
          <w:b/>
          <w:bCs/>
          <w:sz w:val="32"/>
          <w:szCs w:val="32"/>
        </w:rPr>
      </w:pPr>
    </w:p>
    <w:p>
      <w:pPr>
        <w:rPr>
          <w:rFonts w:ascii="楷体" w:hAnsi="楷体" w:eastAsia="楷体" w:cs="楷体"/>
          <w:b/>
          <w:bCs/>
          <w:sz w:val="32"/>
          <w:szCs w:val="32"/>
        </w:rPr>
      </w:pPr>
      <w:r>
        <w:rPr>
          <w:rFonts w:hint="eastAsia" w:ascii="楷体" w:hAnsi="楷体" w:eastAsia="楷体" w:cs="楷体"/>
          <w:b/>
          <w:bCs/>
          <w:sz w:val="32"/>
          <w:szCs w:val="32"/>
        </w:rPr>
        <w:br w:type="page"/>
      </w:r>
    </w:p>
    <w:p>
      <w:pPr>
        <w:pStyle w:val="17"/>
        <w:spacing w:before="0" w:beforeAutospacing="0" w:after="0" w:afterAutospacing="0" w:line="420" w:lineRule="exact"/>
        <w:jc w:val="both"/>
        <w:textAlignment w:val="baseline"/>
        <w:rPr>
          <w:rFonts w:ascii="楷体" w:hAnsi="楷体" w:eastAsia="楷体" w:cs="楷体"/>
          <w:b/>
          <w:bCs/>
          <w:sz w:val="44"/>
          <w:szCs w:val="44"/>
        </w:rPr>
      </w:pPr>
      <w:r>
        <w:rPr>
          <w:rFonts w:hint="eastAsia" w:ascii="楷体" w:hAnsi="楷体" w:eastAsia="楷体" w:cs="楷体"/>
          <w:b/>
          <w:bCs/>
          <w:sz w:val="32"/>
          <w:szCs w:val="32"/>
        </w:rPr>
        <w:t>附件1</w:t>
      </w:r>
    </w:p>
    <w:p>
      <w:pPr>
        <w:pStyle w:val="17"/>
        <w:spacing w:before="0" w:beforeAutospacing="0" w:after="0" w:afterAutospacing="0" w:line="700" w:lineRule="exact"/>
        <w:jc w:val="center"/>
        <w:textAlignment w:val="baseline"/>
        <w:rPr>
          <w:rFonts w:ascii="楷体" w:hAnsi="楷体" w:eastAsia="楷体" w:cs="楷体"/>
          <w:b/>
          <w:bCs/>
          <w:sz w:val="48"/>
          <w:szCs w:val="48"/>
        </w:rPr>
      </w:pPr>
      <w:r>
        <w:rPr>
          <w:rFonts w:hint="eastAsia" w:ascii="楷体" w:hAnsi="楷体" w:eastAsia="楷体" w:cs="楷体"/>
          <w:b/>
          <w:bCs/>
          <w:sz w:val="48"/>
          <w:szCs w:val="48"/>
        </w:rPr>
        <w:t>诚信承诺书</w:t>
      </w:r>
    </w:p>
    <w:p>
      <w:pPr>
        <w:pStyle w:val="17"/>
        <w:spacing w:before="0" w:beforeAutospacing="0" w:after="0" w:afterAutospacing="0" w:line="400" w:lineRule="exact"/>
        <w:jc w:val="both"/>
        <w:textAlignment w:val="baseline"/>
        <w:rPr>
          <w:rFonts w:ascii="楷体" w:hAnsi="楷体" w:eastAsia="楷体" w:cs="楷体"/>
          <w:bCs/>
        </w:rPr>
      </w:pPr>
    </w:p>
    <w:p>
      <w:pPr>
        <w:pStyle w:val="17"/>
        <w:spacing w:before="0" w:beforeAutospacing="0" w:after="0" w:afterAutospacing="0" w:line="400" w:lineRule="exact"/>
        <w:ind w:firstLine="470" w:firstLineChars="196"/>
        <w:textAlignment w:val="baseline"/>
        <w:rPr>
          <w:rFonts w:ascii="楷体" w:hAnsi="楷体" w:eastAsia="楷体" w:cs="楷体"/>
          <w:bCs/>
        </w:rPr>
      </w:pPr>
      <w:r>
        <w:rPr>
          <w:rFonts w:hint="eastAsia" w:ascii="楷体" w:hAnsi="楷体" w:eastAsia="楷体" w:cs="楷体"/>
          <w:bCs/>
        </w:rPr>
        <w:t>本人__________（法定代表人全名）系</w:t>
      </w:r>
      <w:r>
        <w:rPr>
          <w:rFonts w:hint="eastAsia" w:ascii="楷体" w:hAnsi="楷体" w:eastAsia="楷体" w:cs="楷体"/>
          <w:bCs/>
          <w:u w:val="single"/>
        </w:rPr>
        <w:t xml:space="preserve">                    </w:t>
      </w:r>
      <w:r>
        <w:rPr>
          <w:rFonts w:hint="eastAsia" w:ascii="楷体" w:hAnsi="楷体" w:eastAsia="楷体" w:cs="楷体"/>
          <w:bCs/>
        </w:rPr>
        <w:t>（公司名）法定代表人，现对</w:t>
      </w:r>
      <w:r>
        <w:rPr>
          <w:rFonts w:hint="eastAsia" w:ascii="楷体" w:hAnsi="楷体" w:eastAsia="楷体" w:cs="楷体"/>
          <w:bCs/>
          <w:u w:val="single"/>
          <w:lang w:eastAsia="zh-CN"/>
        </w:rPr>
        <w:t>盐城工业职业技术学院经贸管理学院会计实训室改造项目</w:t>
      </w:r>
      <w:r>
        <w:rPr>
          <w:rFonts w:hint="eastAsia" w:ascii="楷体" w:hAnsi="楷体" w:eastAsia="楷体" w:cs="楷体"/>
          <w:bCs/>
        </w:rPr>
        <w:t>项目做出如下诚信承诺：</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① 我方申报的所有资料都是真实、有效的;</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② 我方不存在资质挂靠或参与串标、围标情形;</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③ 我方投标项目负责人无在建工程；</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④ 我方未被各级行政主管部门做出停止市场行为的处罚;</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⑤ 若我方中标，将严格按照规定及时与招标单位按照招标文件签订合同;</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⑥ 我方未与其他投标人串通投标，采取不正当手段诋毁、排挤其他投标人的公平竞争，损害招标人或其他投标人的合法权益；</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fldChar w:fldCharType="begin"/>
      </w:r>
      <w:r>
        <w:rPr>
          <w:rFonts w:hint="eastAsia" w:ascii="楷体" w:hAnsi="楷体" w:eastAsia="楷体" w:cs="楷体"/>
          <w:bCs/>
        </w:rPr>
        <w:instrText xml:space="preserve">= 7 \* GB3</w:instrText>
      </w:r>
      <w:r>
        <w:rPr>
          <w:rFonts w:hint="eastAsia" w:ascii="楷体" w:hAnsi="楷体" w:eastAsia="楷体" w:cs="楷体"/>
          <w:bCs/>
        </w:rPr>
        <w:fldChar w:fldCharType="separate"/>
      </w:r>
      <w:r>
        <w:rPr>
          <w:rFonts w:hint="eastAsia" w:ascii="楷体" w:hAnsi="楷体" w:eastAsia="楷体" w:cs="楷体"/>
          <w:bCs/>
        </w:rPr>
        <w:t>⑦</w:t>
      </w:r>
      <w:r>
        <w:rPr>
          <w:rFonts w:hint="eastAsia" w:ascii="楷体" w:hAnsi="楷体" w:eastAsia="楷体" w:cs="楷体"/>
          <w:bCs/>
        </w:rPr>
        <w:fldChar w:fldCharType="end"/>
      </w:r>
      <w:r>
        <w:rPr>
          <w:rFonts w:hint="eastAsia" w:ascii="楷体" w:hAnsi="楷体" w:eastAsia="楷体" w:cs="楷体"/>
          <w:bCs/>
        </w:rPr>
        <w:t>我方杜绝捏造、虚构事实等方式进行恶意投诉的行为；</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⑧如在投标过程和公示期间发生异议、投诉行为，保证按照《关于进一步规范建设工程招标投标投诉（异议）处理的通知》（盐建招投〔2016〕1号）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我同意招标人在我公司投标保证金中直接扣减相应数额，不足部分补足；</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⑨若对本次投标有投诉（异议），我保证由我投标时授权的代理人全权处理投诉（异议）事项，不再另行委托他人处理，如若违背，招标人或监管机构有权拒绝受理我公司投诉（异议）事项。</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我方在本次招投标活动过程中如有违背上述承诺诚实行为的：</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① 自愿扣除本项目投标保证金。</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②处罚公示期内，不得参与盐城市国有资金投资项目的投标。</w:t>
      </w:r>
    </w:p>
    <w:p>
      <w:pPr>
        <w:pStyle w:val="17"/>
        <w:spacing w:before="0" w:beforeAutospacing="0" w:after="0" w:afterAutospacing="0" w:line="400" w:lineRule="exact"/>
        <w:ind w:firstLine="480" w:firstLineChars="200"/>
        <w:textAlignment w:val="baseline"/>
        <w:rPr>
          <w:rFonts w:ascii="楷体" w:hAnsi="楷体" w:eastAsia="楷体" w:cs="楷体"/>
          <w:bCs/>
        </w:rPr>
      </w:pPr>
      <w:r>
        <w:rPr>
          <w:rFonts w:hint="eastAsia" w:ascii="楷体" w:hAnsi="楷体" w:eastAsia="楷体" w:cs="楷体"/>
          <w:bCs/>
        </w:rPr>
        <w:t>③对造成的损失，任何法律和经济责任完全由我方负责。</w:t>
      </w:r>
    </w:p>
    <w:p>
      <w:pPr>
        <w:pStyle w:val="17"/>
        <w:spacing w:before="0" w:beforeAutospacing="0" w:after="0" w:afterAutospacing="0" w:line="400" w:lineRule="exact"/>
        <w:ind w:firstLine="480" w:firstLineChars="200"/>
        <w:textAlignment w:val="baseline"/>
        <w:rPr>
          <w:rFonts w:ascii="楷体" w:hAnsi="楷体" w:eastAsia="楷体" w:cs="楷体"/>
          <w:b/>
        </w:rPr>
      </w:pPr>
      <w:r>
        <w:rPr>
          <w:rFonts w:hint="eastAsia" w:ascii="楷体" w:hAnsi="楷体" w:eastAsia="楷体" w:cs="楷体"/>
          <w:b/>
        </w:rPr>
        <w:t>投标人的法定代表人必须本人签署诚信承诺书，否则招标人将拒收（退回）其投标文件。</w:t>
      </w:r>
    </w:p>
    <w:p>
      <w:pPr>
        <w:pStyle w:val="3"/>
        <w:ind w:firstLine="0"/>
        <w:rPr>
          <w:rFonts w:ascii="楷体" w:hAnsi="楷体" w:eastAsia="楷体" w:cs="楷体"/>
          <w:b w:val="0"/>
        </w:rPr>
      </w:pPr>
    </w:p>
    <w:p>
      <w:pPr>
        <w:pStyle w:val="3"/>
        <w:ind w:firstLine="1200" w:firstLineChars="500"/>
        <w:jc w:val="left"/>
        <w:rPr>
          <w:rFonts w:ascii="楷体" w:hAnsi="楷体" w:eastAsia="楷体" w:cs="楷体"/>
          <w:b w:val="0"/>
        </w:rPr>
      </w:pPr>
      <w:r>
        <w:rPr>
          <w:rFonts w:hint="eastAsia" w:ascii="楷体" w:hAnsi="楷体" w:eastAsia="楷体" w:cs="楷体"/>
          <w:b w:val="0"/>
        </w:rPr>
        <w:t>投标人（盖章）：</w:t>
      </w:r>
    </w:p>
    <w:p>
      <w:pPr>
        <w:pStyle w:val="3"/>
        <w:ind w:firstLine="1200" w:firstLineChars="500"/>
        <w:jc w:val="left"/>
        <w:rPr>
          <w:rFonts w:ascii="楷体" w:hAnsi="楷体" w:eastAsia="楷体" w:cs="楷体"/>
          <w:b w:val="0"/>
        </w:rPr>
      </w:pPr>
      <w:r>
        <w:rPr>
          <w:rFonts w:hint="eastAsia" w:ascii="楷体" w:hAnsi="楷体" w:eastAsia="楷体" w:cs="楷体"/>
          <w:b w:val="0"/>
        </w:rPr>
        <w:t>法定代表人（签字）：</w:t>
      </w:r>
    </w:p>
    <w:p>
      <w:pPr>
        <w:pStyle w:val="3"/>
        <w:ind w:firstLine="1200" w:firstLineChars="500"/>
        <w:jc w:val="left"/>
        <w:rPr>
          <w:rFonts w:ascii="楷体" w:hAnsi="楷体" w:eastAsia="楷体" w:cs="楷体"/>
          <w:b w:val="0"/>
          <w:bCs w:val="0"/>
        </w:rPr>
      </w:pPr>
      <w:r>
        <w:rPr>
          <w:rFonts w:hint="eastAsia" w:ascii="楷体" w:hAnsi="楷体" w:eastAsia="楷体" w:cs="楷体"/>
          <w:b w:val="0"/>
          <w:bCs w:val="0"/>
        </w:rPr>
        <w:t>日期：　 年　  月　　日</w:t>
      </w: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r>
        <w:rPr>
          <w:rFonts w:hint="eastAsia" w:ascii="楷体" w:hAnsi="楷体" w:eastAsia="楷体" w:cs="楷体"/>
          <w:b/>
          <w:sz w:val="32"/>
          <w:szCs w:val="32"/>
        </w:rPr>
        <w:t>附件2</w:t>
      </w:r>
    </w:p>
    <w:p>
      <w:pPr>
        <w:spacing w:line="500" w:lineRule="exact"/>
        <w:jc w:val="center"/>
        <w:rPr>
          <w:rFonts w:ascii="楷体" w:hAnsi="楷体" w:eastAsia="楷体" w:cs="楷体"/>
          <w:b/>
          <w:sz w:val="32"/>
          <w:szCs w:val="32"/>
        </w:rPr>
      </w:pPr>
    </w:p>
    <w:p>
      <w:pPr>
        <w:spacing w:line="500" w:lineRule="exact"/>
        <w:jc w:val="center"/>
        <w:rPr>
          <w:rFonts w:ascii="楷体" w:hAnsi="楷体" w:eastAsia="楷体" w:cs="楷体"/>
          <w:b/>
          <w:sz w:val="44"/>
          <w:szCs w:val="44"/>
        </w:rPr>
      </w:pPr>
      <w:r>
        <w:rPr>
          <w:rFonts w:hint="eastAsia" w:ascii="楷体" w:hAnsi="楷体" w:eastAsia="楷体" w:cs="楷体"/>
          <w:b/>
          <w:sz w:val="44"/>
          <w:szCs w:val="44"/>
        </w:rPr>
        <w:t>法定代表人身份证明书</w:t>
      </w:r>
    </w:p>
    <w:p>
      <w:pPr>
        <w:spacing w:line="500" w:lineRule="exact"/>
        <w:rPr>
          <w:rFonts w:ascii="楷体" w:hAnsi="楷体" w:eastAsia="楷体" w:cs="楷体"/>
          <w:sz w:val="28"/>
        </w:rPr>
      </w:pPr>
    </w:p>
    <w:p>
      <w:pPr>
        <w:spacing w:line="500" w:lineRule="exact"/>
        <w:ind w:firstLine="480" w:firstLineChars="200"/>
        <w:rPr>
          <w:rFonts w:ascii="楷体" w:hAnsi="楷体" w:eastAsia="楷体" w:cs="楷体"/>
          <w:sz w:val="24"/>
          <w:u w:val="single"/>
        </w:rPr>
      </w:pPr>
      <w:r>
        <w:rPr>
          <w:rFonts w:hint="eastAsia" w:ascii="楷体" w:hAnsi="楷体" w:eastAsia="楷体" w:cs="楷体"/>
          <w:sz w:val="24"/>
        </w:rPr>
        <w:t>单位名称：</w:t>
      </w:r>
      <w:r>
        <w:rPr>
          <w:rFonts w:hint="eastAsia" w:ascii="楷体" w:hAnsi="楷体" w:eastAsia="楷体" w:cs="楷体"/>
          <w:sz w:val="24"/>
          <w:u w:val="single"/>
        </w:rPr>
        <w:t xml:space="preserve">                                     </w:t>
      </w:r>
    </w:p>
    <w:p>
      <w:pPr>
        <w:spacing w:line="500" w:lineRule="exact"/>
        <w:ind w:firstLine="480" w:firstLineChars="200"/>
        <w:rPr>
          <w:rFonts w:ascii="楷体" w:hAnsi="楷体" w:eastAsia="楷体" w:cs="楷体"/>
          <w:sz w:val="24"/>
        </w:rPr>
      </w:pPr>
      <w:r>
        <w:rPr>
          <w:rFonts w:hint="eastAsia" w:ascii="楷体" w:hAnsi="楷体" w:eastAsia="楷体" w:cs="楷体"/>
          <w:sz w:val="24"/>
        </w:rPr>
        <w:t>单位性质：</w:t>
      </w:r>
      <w:r>
        <w:rPr>
          <w:rFonts w:hint="eastAsia" w:ascii="楷体" w:hAnsi="楷体" w:eastAsia="楷体" w:cs="楷体"/>
          <w:sz w:val="24"/>
          <w:u w:val="single"/>
        </w:rPr>
        <w:t xml:space="preserve">                                     </w:t>
      </w:r>
    </w:p>
    <w:p>
      <w:pPr>
        <w:spacing w:line="500" w:lineRule="exact"/>
        <w:ind w:firstLine="480" w:firstLineChars="200"/>
        <w:rPr>
          <w:rFonts w:ascii="楷体" w:hAnsi="楷体" w:eastAsia="楷体" w:cs="楷体"/>
          <w:sz w:val="24"/>
        </w:rPr>
      </w:pPr>
      <w:r>
        <w:rPr>
          <w:rFonts w:hint="eastAsia" w:ascii="楷体" w:hAnsi="楷体" w:eastAsia="楷体" w:cs="楷体"/>
          <w:sz w:val="24"/>
        </w:rPr>
        <w:t>地    址：</w:t>
      </w:r>
      <w:r>
        <w:rPr>
          <w:rFonts w:hint="eastAsia" w:ascii="楷体" w:hAnsi="楷体" w:eastAsia="楷体" w:cs="楷体"/>
          <w:sz w:val="24"/>
          <w:u w:val="single"/>
        </w:rPr>
        <w:t xml:space="preserve">                                     </w:t>
      </w:r>
    </w:p>
    <w:p>
      <w:pPr>
        <w:spacing w:line="500" w:lineRule="exact"/>
        <w:ind w:firstLine="480" w:firstLineChars="200"/>
        <w:rPr>
          <w:rFonts w:ascii="楷体" w:hAnsi="楷体" w:eastAsia="楷体" w:cs="楷体"/>
          <w:sz w:val="24"/>
        </w:rPr>
      </w:pPr>
      <w:r>
        <w:rPr>
          <w:rFonts w:hint="eastAsia" w:ascii="楷体" w:hAnsi="楷体" w:eastAsia="楷体" w:cs="楷体"/>
          <w:sz w:val="24"/>
        </w:rPr>
        <w:t>成立时间：</w:t>
      </w:r>
      <w:r>
        <w:rPr>
          <w:rFonts w:hint="eastAsia" w:ascii="楷体" w:hAnsi="楷体" w:eastAsia="楷体" w:cs="楷体"/>
          <w:sz w:val="24"/>
          <w:u w:val="single"/>
        </w:rPr>
        <w:t xml:space="preserve">          </w:t>
      </w:r>
      <w:r>
        <w:rPr>
          <w:rFonts w:hint="eastAsia" w:ascii="楷体" w:hAnsi="楷体" w:eastAsia="楷体" w:cs="楷体"/>
          <w:sz w:val="24"/>
        </w:rPr>
        <w:t>年</w:t>
      </w:r>
      <w:r>
        <w:rPr>
          <w:rFonts w:hint="eastAsia" w:ascii="楷体" w:hAnsi="楷体" w:eastAsia="楷体" w:cs="楷体"/>
          <w:sz w:val="24"/>
          <w:u w:val="single"/>
        </w:rPr>
        <w:t xml:space="preserve">         </w:t>
      </w:r>
      <w:r>
        <w:rPr>
          <w:rFonts w:hint="eastAsia" w:ascii="楷体" w:hAnsi="楷体" w:eastAsia="楷体" w:cs="楷体"/>
          <w:sz w:val="24"/>
        </w:rPr>
        <w:t>月</w:t>
      </w:r>
      <w:r>
        <w:rPr>
          <w:rFonts w:hint="eastAsia" w:ascii="楷体" w:hAnsi="楷体" w:eastAsia="楷体" w:cs="楷体"/>
          <w:sz w:val="24"/>
          <w:u w:val="single"/>
        </w:rPr>
        <w:t xml:space="preserve">         </w:t>
      </w:r>
      <w:r>
        <w:rPr>
          <w:rFonts w:hint="eastAsia" w:ascii="楷体" w:hAnsi="楷体" w:eastAsia="楷体" w:cs="楷体"/>
          <w:sz w:val="24"/>
        </w:rPr>
        <w:t>日</w:t>
      </w:r>
    </w:p>
    <w:p>
      <w:pPr>
        <w:spacing w:line="500" w:lineRule="exact"/>
        <w:ind w:firstLine="480" w:firstLineChars="200"/>
        <w:rPr>
          <w:rFonts w:ascii="楷体" w:hAnsi="楷体" w:eastAsia="楷体" w:cs="楷体"/>
          <w:sz w:val="24"/>
        </w:rPr>
      </w:pPr>
      <w:r>
        <w:rPr>
          <w:rFonts w:hint="eastAsia" w:ascii="楷体" w:hAnsi="楷体" w:eastAsia="楷体" w:cs="楷体"/>
          <w:sz w:val="24"/>
        </w:rPr>
        <w:t>经营期限：</w:t>
      </w:r>
      <w:r>
        <w:rPr>
          <w:rFonts w:hint="eastAsia" w:ascii="楷体" w:hAnsi="楷体" w:eastAsia="楷体" w:cs="楷体"/>
          <w:sz w:val="24"/>
          <w:u w:val="single"/>
        </w:rPr>
        <w:t xml:space="preserve">                                     </w:t>
      </w:r>
    </w:p>
    <w:p>
      <w:pPr>
        <w:spacing w:line="500" w:lineRule="exact"/>
        <w:ind w:firstLine="480" w:firstLineChars="200"/>
        <w:rPr>
          <w:rFonts w:ascii="楷体" w:hAnsi="楷体" w:eastAsia="楷体" w:cs="楷体"/>
          <w:sz w:val="24"/>
        </w:rPr>
      </w:pPr>
      <w:r>
        <w:rPr>
          <w:rFonts w:hint="eastAsia" w:ascii="楷体" w:hAnsi="楷体" w:eastAsia="楷体" w:cs="楷体"/>
          <w:sz w:val="24"/>
        </w:rPr>
        <w:t>姓名：</w:t>
      </w:r>
      <w:r>
        <w:rPr>
          <w:rFonts w:hint="eastAsia" w:ascii="楷体" w:hAnsi="楷体" w:eastAsia="楷体" w:cs="楷体"/>
          <w:sz w:val="24"/>
          <w:u w:val="single"/>
        </w:rPr>
        <w:t xml:space="preserve">        </w:t>
      </w:r>
      <w:r>
        <w:rPr>
          <w:rFonts w:hint="eastAsia" w:ascii="楷体" w:hAnsi="楷体" w:eastAsia="楷体" w:cs="楷体"/>
          <w:sz w:val="24"/>
        </w:rPr>
        <w:t xml:space="preserve"> 性别：</w:t>
      </w:r>
      <w:r>
        <w:rPr>
          <w:rFonts w:hint="eastAsia" w:ascii="楷体" w:hAnsi="楷体" w:eastAsia="楷体" w:cs="楷体"/>
          <w:sz w:val="24"/>
          <w:u w:val="single"/>
        </w:rPr>
        <w:t xml:space="preserve">      </w:t>
      </w:r>
      <w:r>
        <w:rPr>
          <w:rFonts w:hint="eastAsia" w:ascii="楷体" w:hAnsi="楷体" w:eastAsia="楷体" w:cs="楷体"/>
          <w:sz w:val="24"/>
        </w:rPr>
        <w:t xml:space="preserve"> 年龄：</w:t>
      </w:r>
      <w:r>
        <w:rPr>
          <w:rFonts w:hint="eastAsia" w:ascii="楷体" w:hAnsi="楷体" w:eastAsia="楷体" w:cs="楷体"/>
          <w:sz w:val="24"/>
          <w:u w:val="single"/>
        </w:rPr>
        <w:t xml:space="preserve">       </w:t>
      </w:r>
      <w:r>
        <w:rPr>
          <w:rFonts w:hint="eastAsia" w:ascii="楷体" w:hAnsi="楷体" w:eastAsia="楷体" w:cs="楷体"/>
          <w:sz w:val="24"/>
        </w:rPr>
        <w:t xml:space="preserve"> 职务：</w:t>
      </w:r>
      <w:r>
        <w:rPr>
          <w:rFonts w:hint="eastAsia" w:ascii="楷体" w:hAnsi="楷体" w:eastAsia="楷体" w:cs="楷体"/>
          <w:sz w:val="24"/>
          <w:u w:val="single"/>
        </w:rPr>
        <w:t xml:space="preserve">       </w:t>
      </w:r>
    </w:p>
    <w:p>
      <w:pPr>
        <w:spacing w:line="500" w:lineRule="exact"/>
        <w:rPr>
          <w:rFonts w:ascii="楷体" w:hAnsi="楷体" w:eastAsia="楷体" w:cs="楷体"/>
          <w:sz w:val="24"/>
        </w:rPr>
      </w:pPr>
      <w:r>
        <w:rPr>
          <w:rFonts w:hint="eastAsia" w:ascii="楷体" w:hAnsi="楷体" w:eastAsia="楷体" w:cs="楷体"/>
          <w:sz w:val="24"/>
        </w:rPr>
        <w:t>系</w:t>
      </w:r>
      <w:r>
        <w:rPr>
          <w:rFonts w:hint="eastAsia" w:ascii="楷体" w:hAnsi="楷体" w:eastAsia="楷体" w:cs="楷体"/>
          <w:sz w:val="24"/>
          <w:u w:val="single"/>
        </w:rPr>
        <w:t xml:space="preserve">                                </w:t>
      </w:r>
      <w:r>
        <w:rPr>
          <w:rFonts w:hint="eastAsia" w:ascii="楷体" w:hAnsi="楷体" w:eastAsia="楷体" w:cs="楷体"/>
          <w:sz w:val="24"/>
        </w:rPr>
        <w:t>（投标人）的法定代表人。</w:t>
      </w: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r>
        <w:rPr>
          <w:rFonts w:hint="eastAsia" w:ascii="楷体" w:hAnsi="楷体" w:eastAsia="楷体" w:cs="楷体"/>
          <w:sz w:val="24"/>
        </w:rPr>
        <w:t>特此证明。</w:t>
      </w:r>
    </w:p>
    <w:p>
      <w:pPr>
        <w:spacing w:line="500" w:lineRule="exact"/>
        <w:ind w:firstLine="480" w:firstLineChars="200"/>
        <w:rPr>
          <w:rFonts w:ascii="楷体" w:hAnsi="楷体" w:eastAsia="楷体" w:cs="楷体"/>
          <w:sz w:val="24"/>
        </w:rPr>
      </w:pPr>
    </w:p>
    <w:p>
      <w:pPr>
        <w:spacing w:line="520" w:lineRule="atLeast"/>
        <w:ind w:firstLine="480" w:firstLineChars="200"/>
        <w:rPr>
          <w:rFonts w:ascii="楷体" w:hAnsi="楷体" w:eastAsia="楷体" w:cs="楷体"/>
          <w:b/>
          <w:sz w:val="24"/>
        </w:rPr>
      </w:pPr>
      <w:r>
        <w:rPr>
          <w:rFonts w:hint="eastAsia" w:ascii="楷体" w:hAnsi="楷体" w:eastAsia="楷体" w:cs="楷体"/>
          <w:b/>
          <w:sz w:val="24"/>
        </w:rPr>
        <w:t>身份证复印件粘贴处：</w:t>
      </w: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ind w:firstLine="480" w:firstLineChars="200"/>
        <w:rPr>
          <w:rFonts w:ascii="楷体" w:hAnsi="楷体" w:eastAsia="楷体" w:cs="楷体"/>
          <w:sz w:val="24"/>
        </w:rPr>
      </w:pPr>
    </w:p>
    <w:p>
      <w:pPr>
        <w:spacing w:line="500" w:lineRule="exact"/>
        <w:rPr>
          <w:rFonts w:ascii="楷体" w:hAnsi="楷体" w:eastAsia="楷体" w:cs="楷体"/>
          <w:sz w:val="24"/>
        </w:rPr>
      </w:pPr>
    </w:p>
    <w:p>
      <w:pPr>
        <w:spacing w:line="500" w:lineRule="exact"/>
        <w:ind w:firstLine="6240" w:firstLineChars="2600"/>
        <w:rPr>
          <w:rFonts w:ascii="楷体" w:hAnsi="楷体" w:eastAsia="楷体" w:cs="楷体"/>
          <w:sz w:val="24"/>
        </w:rPr>
      </w:pPr>
      <w:r>
        <w:rPr>
          <w:rFonts w:hint="eastAsia" w:ascii="楷体" w:hAnsi="楷体" w:eastAsia="楷体" w:cs="楷体"/>
          <w:sz w:val="24"/>
        </w:rPr>
        <w:t>投标人（盖章）：</w:t>
      </w:r>
    </w:p>
    <w:p>
      <w:pPr>
        <w:spacing w:line="500" w:lineRule="exact"/>
        <w:ind w:firstLine="3840" w:firstLineChars="1600"/>
        <w:rPr>
          <w:rFonts w:ascii="楷体" w:hAnsi="楷体" w:eastAsia="楷体" w:cs="楷体"/>
          <w:sz w:val="24"/>
        </w:rPr>
      </w:pPr>
    </w:p>
    <w:p>
      <w:pPr>
        <w:spacing w:line="500" w:lineRule="exact"/>
        <w:jc w:val="right"/>
        <w:rPr>
          <w:rFonts w:ascii="楷体" w:hAnsi="楷体" w:eastAsia="楷体" w:cs="楷体"/>
          <w:sz w:val="24"/>
        </w:rPr>
      </w:pPr>
      <w:r>
        <w:rPr>
          <w:rFonts w:hint="eastAsia" w:ascii="楷体" w:hAnsi="楷体" w:eastAsia="楷体" w:cs="楷体"/>
          <w:sz w:val="24"/>
        </w:rPr>
        <w:t>日期：    年   月   日</w:t>
      </w:r>
    </w:p>
    <w:p>
      <w:pPr>
        <w:spacing w:line="500" w:lineRule="exact"/>
        <w:jc w:val="left"/>
        <w:rPr>
          <w:rFonts w:ascii="楷体" w:hAnsi="楷体" w:eastAsia="楷体" w:cs="楷体"/>
          <w:sz w:val="24"/>
        </w:rPr>
      </w:pPr>
    </w:p>
    <w:p>
      <w:pPr>
        <w:spacing w:line="500" w:lineRule="exact"/>
        <w:jc w:val="left"/>
        <w:rPr>
          <w:rFonts w:ascii="楷体" w:hAnsi="楷体" w:eastAsia="楷体" w:cs="楷体"/>
          <w:b/>
          <w:sz w:val="32"/>
          <w:szCs w:val="32"/>
        </w:rPr>
      </w:pPr>
    </w:p>
    <w:p>
      <w:pPr>
        <w:spacing w:line="500" w:lineRule="exact"/>
        <w:jc w:val="left"/>
        <w:rPr>
          <w:rFonts w:ascii="楷体" w:hAnsi="楷体" w:eastAsia="楷体" w:cs="楷体"/>
          <w:b/>
          <w:sz w:val="32"/>
          <w:szCs w:val="32"/>
        </w:rPr>
      </w:pPr>
      <w:r>
        <w:rPr>
          <w:rFonts w:hint="eastAsia" w:ascii="楷体" w:hAnsi="楷体" w:eastAsia="楷体" w:cs="楷体"/>
          <w:b/>
          <w:sz w:val="32"/>
          <w:szCs w:val="32"/>
        </w:rPr>
        <w:t>附件3</w:t>
      </w:r>
    </w:p>
    <w:p>
      <w:pPr>
        <w:spacing w:line="500" w:lineRule="exact"/>
        <w:jc w:val="center"/>
        <w:rPr>
          <w:rFonts w:ascii="楷体" w:hAnsi="楷体" w:eastAsia="楷体" w:cs="楷体"/>
          <w:b/>
          <w:sz w:val="44"/>
          <w:szCs w:val="44"/>
        </w:rPr>
      </w:pPr>
      <w:r>
        <w:rPr>
          <w:rFonts w:hint="eastAsia" w:ascii="楷体" w:hAnsi="楷体" w:eastAsia="楷体" w:cs="楷体"/>
          <w:b/>
          <w:sz w:val="44"/>
          <w:szCs w:val="44"/>
        </w:rPr>
        <w:t>授 权 委 托 书</w:t>
      </w:r>
    </w:p>
    <w:p>
      <w:pPr>
        <w:spacing w:line="520" w:lineRule="atLeast"/>
        <w:jc w:val="center"/>
        <w:rPr>
          <w:rFonts w:ascii="楷体" w:hAnsi="楷体" w:eastAsia="楷体" w:cs="楷体"/>
          <w:sz w:val="44"/>
        </w:rPr>
      </w:pPr>
    </w:p>
    <w:p>
      <w:pPr>
        <w:spacing w:line="520" w:lineRule="atLeast"/>
        <w:ind w:firstLine="480" w:firstLineChars="200"/>
        <w:rPr>
          <w:rFonts w:ascii="楷体" w:hAnsi="楷体" w:eastAsia="楷体" w:cs="楷体"/>
          <w:sz w:val="24"/>
        </w:rPr>
      </w:pPr>
      <w:r>
        <w:rPr>
          <w:rFonts w:hint="eastAsia" w:ascii="楷体" w:hAnsi="楷体" w:eastAsia="楷体" w:cs="楷体"/>
          <w:sz w:val="24"/>
        </w:rPr>
        <w:t>本授权委托书声明：我</w:t>
      </w:r>
      <w:r>
        <w:rPr>
          <w:rFonts w:hint="eastAsia" w:ascii="楷体" w:hAnsi="楷体" w:eastAsia="楷体" w:cs="楷体"/>
          <w:sz w:val="24"/>
          <w:u w:val="single"/>
        </w:rPr>
        <w:t xml:space="preserve">            </w:t>
      </w:r>
      <w:r>
        <w:rPr>
          <w:rFonts w:hint="eastAsia" w:ascii="楷体" w:hAnsi="楷体" w:eastAsia="楷体" w:cs="楷体"/>
          <w:sz w:val="24"/>
        </w:rPr>
        <w:t>（姓名）系</w:t>
      </w:r>
      <w:r>
        <w:rPr>
          <w:rFonts w:hint="eastAsia" w:ascii="楷体" w:hAnsi="楷体" w:eastAsia="楷体" w:cs="楷体"/>
          <w:sz w:val="24"/>
          <w:u w:val="single"/>
        </w:rPr>
        <w:t xml:space="preserve">                 </w:t>
      </w:r>
      <w:r>
        <w:rPr>
          <w:rFonts w:hint="eastAsia" w:ascii="楷体" w:hAnsi="楷体" w:eastAsia="楷体" w:cs="楷体"/>
          <w:sz w:val="24"/>
        </w:rPr>
        <w:t>（投标人名称）的法定代表人，现授权委托</w:t>
      </w:r>
      <w:r>
        <w:rPr>
          <w:rFonts w:hint="eastAsia" w:ascii="楷体" w:hAnsi="楷体" w:eastAsia="楷体" w:cs="楷体"/>
          <w:sz w:val="28"/>
          <w:u w:val="single"/>
        </w:rPr>
        <w:t xml:space="preserve">        </w:t>
      </w:r>
      <w:r>
        <w:rPr>
          <w:rFonts w:hint="eastAsia" w:ascii="楷体" w:hAnsi="楷体" w:eastAsia="楷体" w:cs="楷体"/>
          <w:sz w:val="24"/>
          <w:u w:val="single"/>
        </w:rPr>
        <w:t xml:space="preserve">      </w:t>
      </w:r>
      <w:r>
        <w:rPr>
          <w:rFonts w:hint="eastAsia" w:ascii="楷体" w:hAnsi="楷体" w:eastAsia="楷体" w:cs="楷体"/>
          <w:sz w:val="24"/>
        </w:rPr>
        <w:t>（单位名称）的</w:t>
      </w:r>
      <w:r>
        <w:rPr>
          <w:rFonts w:hint="eastAsia" w:ascii="楷体" w:hAnsi="楷体" w:eastAsia="楷体" w:cs="楷体"/>
          <w:sz w:val="24"/>
          <w:u w:val="single"/>
        </w:rPr>
        <w:t xml:space="preserve">               </w:t>
      </w:r>
      <w:r>
        <w:rPr>
          <w:rFonts w:hint="eastAsia" w:ascii="楷体" w:hAnsi="楷体" w:eastAsia="楷体" w:cs="楷体"/>
          <w:sz w:val="24"/>
        </w:rPr>
        <w:t>（姓名）为我单位的代理人，以本单位的名义参加</w:t>
      </w:r>
      <w:r>
        <w:rPr>
          <w:rFonts w:hint="eastAsia" w:ascii="楷体" w:hAnsi="楷体" w:eastAsia="楷体" w:cs="楷体"/>
          <w:sz w:val="24"/>
          <w:u w:val="single"/>
        </w:rPr>
        <w:t>盐城工业职业技术学院</w:t>
      </w:r>
      <w:r>
        <w:rPr>
          <w:rFonts w:hint="eastAsia" w:ascii="楷体" w:hAnsi="楷体" w:eastAsia="楷体" w:cs="楷体"/>
          <w:sz w:val="24"/>
        </w:rPr>
        <w:t>（招标人名称）的</w:t>
      </w:r>
      <w:r>
        <w:rPr>
          <w:rFonts w:hint="eastAsia" w:ascii="楷体" w:hAnsi="楷体" w:eastAsia="楷体" w:cs="楷体"/>
          <w:sz w:val="24"/>
          <w:u w:val="single"/>
          <w:lang w:eastAsia="zh-CN"/>
        </w:rPr>
        <w:t>盐城工业职业技术学院经贸管理学院会计实训室改造项目</w:t>
      </w:r>
      <w:r>
        <w:rPr>
          <w:rFonts w:hint="eastAsia" w:ascii="楷体" w:hAnsi="楷体" w:eastAsia="楷体" w:cs="楷体"/>
          <w:sz w:val="24"/>
        </w:rPr>
        <w:t>的投标活动。代理人在开标、评标、合同谈判过程中所签署的一切文件和处理与之有关的一切事务，我均予以承认。代理人无转委托权。</w:t>
      </w:r>
    </w:p>
    <w:p>
      <w:pPr>
        <w:spacing w:line="520" w:lineRule="atLeast"/>
        <w:ind w:firstLine="480" w:firstLineChars="200"/>
        <w:rPr>
          <w:rFonts w:ascii="楷体" w:hAnsi="楷体" w:eastAsia="楷体" w:cs="楷体"/>
          <w:sz w:val="24"/>
        </w:rPr>
      </w:pPr>
      <w:r>
        <w:rPr>
          <w:rFonts w:hint="eastAsia" w:ascii="楷体" w:hAnsi="楷体" w:eastAsia="楷体" w:cs="楷体"/>
          <w:sz w:val="24"/>
        </w:rPr>
        <w:t>特此委托。</w:t>
      </w:r>
    </w:p>
    <w:p>
      <w:pPr>
        <w:spacing w:line="520" w:lineRule="atLeast"/>
        <w:rPr>
          <w:rFonts w:ascii="楷体" w:hAnsi="楷体" w:eastAsia="楷体" w:cs="楷体"/>
          <w:sz w:val="24"/>
        </w:rPr>
      </w:pPr>
    </w:p>
    <w:p>
      <w:pPr>
        <w:spacing w:line="520" w:lineRule="atLeast"/>
        <w:ind w:firstLine="480" w:firstLineChars="200"/>
        <w:rPr>
          <w:rFonts w:ascii="楷体" w:hAnsi="楷体" w:eastAsia="楷体" w:cs="楷体"/>
          <w:sz w:val="24"/>
        </w:rPr>
      </w:pPr>
      <w:r>
        <w:rPr>
          <w:rFonts w:hint="eastAsia" w:ascii="楷体" w:hAnsi="楷体" w:eastAsia="楷体" w:cs="楷体"/>
          <w:sz w:val="24"/>
        </w:rPr>
        <w:t>代理人姓名：              性别：          身份证号码：</w:t>
      </w:r>
    </w:p>
    <w:p>
      <w:pPr>
        <w:spacing w:line="520" w:lineRule="atLeast"/>
        <w:ind w:firstLine="480" w:firstLineChars="200"/>
        <w:rPr>
          <w:rFonts w:ascii="楷体" w:hAnsi="楷体" w:eastAsia="楷体" w:cs="楷体"/>
          <w:sz w:val="24"/>
        </w:rPr>
      </w:pPr>
      <w:r>
        <w:rPr>
          <w:rFonts w:hint="eastAsia" w:ascii="楷体" w:hAnsi="楷体" w:eastAsia="楷体" w:cs="楷体"/>
          <w:sz w:val="24"/>
        </w:rPr>
        <w:t>电话：                    传真：          手机：</w:t>
      </w:r>
    </w:p>
    <w:p>
      <w:pPr>
        <w:spacing w:line="520" w:lineRule="atLeast"/>
        <w:rPr>
          <w:rFonts w:ascii="楷体" w:hAnsi="楷体" w:eastAsia="楷体" w:cs="楷体"/>
          <w:sz w:val="24"/>
        </w:rPr>
      </w:pPr>
    </w:p>
    <w:p>
      <w:pPr>
        <w:spacing w:line="520" w:lineRule="atLeast"/>
        <w:jc w:val="center"/>
        <w:rPr>
          <w:rFonts w:ascii="楷体" w:hAnsi="楷体" w:eastAsia="楷体" w:cs="楷体"/>
          <w:sz w:val="24"/>
        </w:rPr>
      </w:pPr>
      <w:r>
        <w:rPr>
          <w:rFonts w:hint="eastAsia" w:ascii="楷体" w:hAnsi="楷体" w:eastAsia="楷体" w:cs="楷体"/>
          <w:sz w:val="24"/>
        </w:rPr>
        <w:t xml:space="preserve">        投标人（盖章）： </w:t>
      </w:r>
    </w:p>
    <w:p>
      <w:pPr>
        <w:spacing w:line="520" w:lineRule="atLeast"/>
        <w:jc w:val="center"/>
        <w:rPr>
          <w:rFonts w:ascii="楷体" w:hAnsi="楷体" w:eastAsia="楷体" w:cs="楷体"/>
          <w:sz w:val="24"/>
        </w:rPr>
      </w:pPr>
      <w:r>
        <w:rPr>
          <w:rFonts w:hint="eastAsia" w:ascii="楷体" w:hAnsi="楷体" w:eastAsia="楷体" w:cs="楷体"/>
          <w:sz w:val="24"/>
        </w:rPr>
        <w:t xml:space="preserve">                  </w:t>
      </w:r>
    </w:p>
    <w:p>
      <w:pPr>
        <w:spacing w:line="520" w:lineRule="atLeast"/>
        <w:jc w:val="center"/>
        <w:rPr>
          <w:rFonts w:ascii="楷体" w:hAnsi="楷体" w:eastAsia="楷体" w:cs="楷体"/>
          <w:sz w:val="24"/>
        </w:rPr>
      </w:pPr>
      <w:r>
        <w:rPr>
          <w:rFonts w:hint="eastAsia" w:ascii="楷体" w:hAnsi="楷体" w:eastAsia="楷体" w:cs="楷体"/>
          <w:sz w:val="24"/>
        </w:rPr>
        <w:t xml:space="preserve">                  法定代表人（签字或盖章）：</w:t>
      </w:r>
    </w:p>
    <w:p>
      <w:pPr>
        <w:spacing w:line="520" w:lineRule="atLeast"/>
        <w:rPr>
          <w:rFonts w:ascii="楷体" w:hAnsi="楷体" w:eastAsia="楷体" w:cs="楷体"/>
          <w:sz w:val="24"/>
        </w:rPr>
      </w:pPr>
    </w:p>
    <w:p>
      <w:pPr>
        <w:spacing w:line="520" w:lineRule="atLeast"/>
        <w:rPr>
          <w:rFonts w:ascii="楷体" w:hAnsi="楷体" w:eastAsia="楷体" w:cs="楷体"/>
          <w:sz w:val="24"/>
        </w:rPr>
      </w:pPr>
    </w:p>
    <w:p>
      <w:pPr>
        <w:spacing w:line="520" w:lineRule="atLeast"/>
        <w:ind w:firstLine="480" w:firstLineChars="200"/>
        <w:rPr>
          <w:rFonts w:ascii="楷体" w:hAnsi="楷体" w:eastAsia="楷体" w:cs="楷体"/>
          <w:b/>
          <w:sz w:val="24"/>
        </w:rPr>
      </w:pPr>
      <w:r>
        <w:rPr>
          <w:rFonts w:hint="eastAsia" w:ascii="楷体" w:hAnsi="楷体" w:eastAsia="楷体" w:cs="楷体"/>
          <w:b/>
          <w:sz w:val="24"/>
        </w:rPr>
        <w:t>身份证复印件粘贴处：</w:t>
      </w:r>
    </w:p>
    <w:p>
      <w:pPr>
        <w:spacing w:line="500" w:lineRule="exact"/>
        <w:jc w:val="left"/>
        <w:rPr>
          <w:rFonts w:ascii="楷体" w:hAnsi="楷体" w:eastAsia="楷体" w:cs="楷体"/>
          <w:sz w:val="24"/>
        </w:rPr>
      </w:pPr>
      <w:r>
        <w:rPr>
          <w:rFonts w:hint="eastAsia" w:ascii="楷体" w:hAnsi="楷体" w:eastAsia="楷体" w:cs="楷体"/>
          <w:sz w:val="24"/>
        </w:rPr>
        <w:br w:type="page"/>
      </w:r>
    </w:p>
    <w:p>
      <w:pPr>
        <w:pStyle w:val="3"/>
        <w:tabs>
          <w:tab w:val="left" w:pos="840"/>
        </w:tabs>
        <w:spacing w:after="156" w:afterLines="50" w:line="320" w:lineRule="exact"/>
        <w:ind w:firstLine="0"/>
        <w:rPr>
          <w:rFonts w:ascii="楷体" w:hAnsi="楷体" w:eastAsia="楷体" w:cs="楷体"/>
        </w:rPr>
      </w:pPr>
      <w:r>
        <w:rPr>
          <w:rFonts w:hint="eastAsia" w:ascii="楷体" w:hAnsi="楷体" w:eastAsia="楷体" w:cs="楷体"/>
          <w:bCs w:val="0"/>
          <w:sz w:val="32"/>
          <w:szCs w:val="32"/>
        </w:rPr>
        <w:t>附件4</w:t>
      </w:r>
    </w:p>
    <w:p>
      <w:pPr>
        <w:pStyle w:val="3"/>
        <w:spacing w:after="156" w:afterLines="50" w:line="240" w:lineRule="auto"/>
        <w:ind w:firstLine="516"/>
        <w:jc w:val="center"/>
        <w:rPr>
          <w:rFonts w:ascii="楷体" w:hAnsi="楷体" w:eastAsia="楷体" w:cs="楷体"/>
          <w:bCs w:val="0"/>
          <w:sz w:val="32"/>
          <w:szCs w:val="32"/>
        </w:rPr>
      </w:pPr>
      <w:r>
        <w:rPr>
          <w:rFonts w:hint="eastAsia" w:ascii="楷体" w:hAnsi="楷体" w:eastAsia="楷体" w:cs="楷体"/>
          <w:bCs w:val="0"/>
          <w:sz w:val="44"/>
          <w:szCs w:val="44"/>
        </w:rPr>
        <w:t>投标承诺书</w:t>
      </w:r>
    </w:p>
    <w:p>
      <w:pPr>
        <w:pStyle w:val="3"/>
        <w:spacing w:line="380" w:lineRule="exact"/>
        <w:ind w:firstLine="0"/>
        <w:rPr>
          <w:rFonts w:ascii="楷体" w:hAnsi="楷体" w:eastAsia="楷体" w:cs="楷体"/>
          <w:b w:val="0"/>
          <w:u w:val="single"/>
        </w:rPr>
      </w:pPr>
      <w:r>
        <w:rPr>
          <w:rFonts w:hint="eastAsia" w:ascii="楷体" w:hAnsi="楷体" w:eastAsia="楷体" w:cs="楷体"/>
          <w:b w:val="0"/>
        </w:rPr>
        <w:t>致：</w:t>
      </w:r>
      <w:r>
        <w:rPr>
          <w:rFonts w:hint="eastAsia" w:ascii="楷体" w:hAnsi="楷体" w:eastAsia="楷体" w:cs="楷体"/>
          <w:b w:val="0"/>
          <w:bCs w:val="0"/>
          <w:u w:val="single"/>
        </w:rPr>
        <w:t>盐城工业职业技术学院</w:t>
      </w:r>
    </w:p>
    <w:p>
      <w:pPr>
        <w:pStyle w:val="3"/>
        <w:spacing w:line="420" w:lineRule="exact"/>
        <w:ind w:firstLine="520" w:firstLineChars="200"/>
        <w:rPr>
          <w:rFonts w:ascii="楷体" w:hAnsi="楷体" w:eastAsia="楷体" w:cs="楷体"/>
          <w:b w:val="0"/>
        </w:rPr>
      </w:pPr>
      <w:r>
        <w:rPr>
          <w:rFonts w:hint="eastAsia" w:ascii="楷体" w:hAnsi="楷体" w:eastAsia="楷体" w:cs="楷体"/>
          <w:b w:val="0"/>
          <w:spacing w:val="10"/>
        </w:rPr>
        <w:t>1.根据你方招标项目</w:t>
      </w:r>
      <w:r>
        <w:rPr>
          <w:rFonts w:hint="eastAsia" w:ascii="楷体" w:hAnsi="楷体" w:eastAsia="楷体" w:cs="楷体"/>
          <w:b w:val="0"/>
          <w:bCs w:val="0"/>
          <w:u w:val="single"/>
          <w:lang w:eastAsia="zh-CN"/>
        </w:rPr>
        <w:t>盐城工业职业技术学院经贸管理学院会计实训室改造项目</w:t>
      </w:r>
      <w:r>
        <w:rPr>
          <w:rFonts w:hint="eastAsia" w:ascii="楷体" w:hAnsi="楷体" w:eastAsia="楷体" w:cs="楷体"/>
          <w:b w:val="0"/>
          <w:spacing w:val="10"/>
        </w:rPr>
        <w:t>的招标文件、遵照《中华人民共和国招标投标法》等有关规定，经踏勘项目现场和研究上述招标文件的投标须知、合同条</w:t>
      </w:r>
      <w:r>
        <w:rPr>
          <w:rFonts w:hint="eastAsia" w:ascii="楷体" w:hAnsi="楷体" w:eastAsia="楷体" w:cs="楷体"/>
          <w:b w:val="0"/>
          <w:spacing w:val="10"/>
          <w:kern w:val="24"/>
        </w:rPr>
        <w:t>款、图</w:t>
      </w:r>
      <w:r>
        <w:rPr>
          <w:rFonts w:hint="eastAsia" w:ascii="楷体" w:hAnsi="楷体" w:eastAsia="楷体" w:cs="楷体"/>
          <w:b w:val="0"/>
          <w:spacing w:val="10"/>
        </w:rPr>
        <w:t>纸</w:t>
      </w:r>
      <w:r>
        <w:rPr>
          <w:rFonts w:hint="eastAsia" w:ascii="楷体" w:hAnsi="楷体" w:eastAsia="楷体" w:cs="楷体"/>
          <w:b w:val="0"/>
          <w:spacing w:val="10"/>
          <w:kern w:val="24"/>
        </w:rPr>
        <w:t>、建设标准和工程量清单及其他有关文件后，我方愿以人民币</w:t>
      </w:r>
      <w:r>
        <w:rPr>
          <w:rFonts w:hint="eastAsia" w:ascii="楷体" w:hAnsi="楷体" w:eastAsia="楷体" w:cs="楷体"/>
          <w:b w:val="0"/>
          <w:spacing w:val="10"/>
          <w:kern w:val="24"/>
          <w:u w:val="single"/>
        </w:rPr>
        <w:t>（大写）   　　</w:t>
      </w:r>
      <w:r>
        <w:rPr>
          <w:rFonts w:hint="eastAsia" w:ascii="楷体" w:hAnsi="楷体" w:eastAsia="楷体" w:cs="楷体"/>
          <w:b w:val="0"/>
          <w:spacing w:val="10"/>
          <w:kern w:val="24"/>
        </w:rPr>
        <w:t>（小写：</w:t>
      </w:r>
      <w:r>
        <w:rPr>
          <w:rFonts w:hint="eastAsia" w:ascii="楷体" w:hAnsi="楷体" w:eastAsia="楷体" w:cs="楷体"/>
          <w:b w:val="0"/>
          <w:spacing w:val="10"/>
          <w:kern w:val="24"/>
          <w:u w:val="single"/>
        </w:rPr>
        <w:t>　 　</w:t>
      </w:r>
      <w:r>
        <w:rPr>
          <w:rFonts w:hint="eastAsia" w:ascii="楷体" w:hAnsi="楷体" w:eastAsia="楷体" w:cs="楷体"/>
          <w:b w:val="0"/>
          <w:spacing w:val="10"/>
          <w:kern w:val="24"/>
        </w:rPr>
        <w:t>元）</w:t>
      </w:r>
      <w:r>
        <w:rPr>
          <w:rFonts w:hint="eastAsia" w:ascii="楷体" w:hAnsi="楷体" w:eastAsia="楷体" w:cs="楷体"/>
          <w:b w:val="0"/>
          <w:spacing w:val="10"/>
        </w:rPr>
        <w:t>的投标报价并按上述图</w:t>
      </w:r>
      <w:r>
        <w:rPr>
          <w:rFonts w:hint="eastAsia" w:ascii="楷体" w:hAnsi="楷体" w:eastAsia="楷体" w:cs="楷体"/>
          <w:b w:val="0"/>
        </w:rPr>
        <w:t>纸、</w:t>
      </w:r>
      <w:r>
        <w:rPr>
          <w:rFonts w:hint="eastAsia" w:ascii="楷体" w:hAnsi="楷体" w:eastAsia="楷体" w:cs="楷体"/>
          <w:b w:val="0"/>
          <w:spacing w:val="10"/>
        </w:rPr>
        <w:t>合同条款、工程建设标准和工程</w:t>
      </w:r>
      <w:r>
        <w:rPr>
          <w:rFonts w:hint="eastAsia" w:ascii="楷体" w:hAnsi="楷体" w:eastAsia="楷体" w:cs="楷体"/>
          <w:b w:val="0"/>
        </w:rPr>
        <w:t>量清单的条件要求承包上述工程的施工、竣工，并承担任何质量缺陷保修责任。</w:t>
      </w:r>
    </w:p>
    <w:p>
      <w:pPr>
        <w:pStyle w:val="3"/>
        <w:spacing w:line="380" w:lineRule="exact"/>
        <w:ind w:firstLine="480" w:firstLineChars="200"/>
        <w:rPr>
          <w:rFonts w:ascii="楷体" w:hAnsi="楷体" w:eastAsia="楷体" w:cs="楷体"/>
          <w:b w:val="0"/>
        </w:rPr>
      </w:pPr>
      <w:r>
        <w:rPr>
          <w:rFonts w:hint="eastAsia" w:ascii="楷体" w:hAnsi="楷体" w:eastAsia="楷体" w:cs="楷体"/>
          <w:b w:val="0"/>
        </w:rPr>
        <w:t>2.我方派出</w:t>
      </w:r>
      <w:r>
        <w:rPr>
          <w:rFonts w:hint="eastAsia" w:ascii="楷体" w:hAnsi="楷体" w:eastAsia="楷体" w:cs="楷体"/>
          <w:b w:val="0"/>
          <w:u w:val="single"/>
        </w:rPr>
        <w:t>　　　</w:t>
      </w:r>
      <w:r>
        <w:rPr>
          <w:rFonts w:hint="eastAsia" w:ascii="楷体" w:hAnsi="楷体" w:eastAsia="楷体" w:cs="楷体"/>
          <w:b w:val="0"/>
        </w:rPr>
        <w:t>（项目负责人姓名）作为本次招标项目的项目负责人，项目负责人的联系电话为</w:t>
      </w:r>
      <w:r>
        <w:rPr>
          <w:rFonts w:hint="eastAsia" w:ascii="楷体" w:hAnsi="楷体" w:eastAsia="楷体" w:cs="楷体"/>
          <w:b w:val="0"/>
          <w:u w:val="single"/>
        </w:rPr>
        <w:t xml:space="preserve">              </w:t>
      </w:r>
      <w:r>
        <w:rPr>
          <w:rFonts w:hint="eastAsia" w:ascii="楷体" w:hAnsi="楷体" w:eastAsia="楷体" w:cs="楷体"/>
          <w:b w:val="0"/>
        </w:rPr>
        <w:t>。</w:t>
      </w:r>
    </w:p>
    <w:p>
      <w:pPr>
        <w:pStyle w:val="3"/>
        <w:spacing w:line="380" w:lineRule="exact"/>
        <w:ind w:firstLine="480" w:firstLineChars="200"/>
        <w:rPr>
          <w:rFonts w:ascii="楷体" w:hAnsi="楷体" w:eastAsia="楷体" w:cs="楷体"/>
          <w:b w:val="0"/>
        </w:rPr>
      </w:pPr>
      <w:r>
        <w:rPr>
          <w:rFonts w:hint="eastAsia" w:ascii="楷体" w:hAnsi="楷体" w:eastAsia="楷体" w:cs="楷体"/>
          <w:b w:val="0"/>
        </w:rPr>
        <w:t>3.我方已详细阅读全部招标文件，包括修改文件、答疑及有关附件，我方承诺完全响应并认可上述文件的所有内容。</w:t>
      </w:r>
    </w:p>
    <w:p>
      <w:pPr>
        <w:pStyle w:val="3"/>
        <w:spacing w:line="380" w:lineRule="exact"/>
        <w:ind w:firstLine="480" w:firstLineChars="200"/>
        <w:rPr>
          <w:rFonts w:ascii="楷体" w:hAnsi="楷体" w:eastAsia="楷体" w:cs="楷体"/>
          <w:b w:val="0"/>
        </w:rPr>
      </w:pPr>
      <w:r>
        <w:rPr>
          <w:rFonts w:hint="eastAsia" w:ascii="楷体" w:hAnsi="楷体" w:eastAsia="楷体" w:cs="楷体"/>
          <w:b w:val="0"/>
        </w:rPr>
        <w:t>4.我方承认投标函附件是我方投标函的组成部分。</w:t>
      </w:r>
    </w:p>
    <w:p>
      <w:pPr>
        <w:pStyle w:val="3"/>
        <w:spacing w:line="380" w:lineRule="exact"/>
        <w:ind w:firstLine="480" w:firstLineChars="200"/>
        <w:rPr>
          <w:rFonts w:ascii="楷体" w:hAnsi="楷体" w:eastAsia="楷体" w:cs="楷体"/>
          <w:b w:val="0"/>
        </w:rPr>
      </w:pPr>
      <w:r>
        <w:rPr>
          <w:rFonts w:hint="eastAsia" w:ascii="楷体" w:hAnsi="楷体" w:eastAsia="楷体" w:cs="楷体"/>
          <w:b w:val="0"/>
        </w:rPr>
        <w:t>5.一旦我方中标，我方保证在招标人要求的工期</w:t>
      </w:r>
      <w:r>
        <w:rPr>
          <w:rFonts w:hint="eastAsia" w:ascii="楷体" w:hAnsi="楷体" w:eastAsia="楷体" w:cs="楷体"/>
          <w:b w:val="0"/>
          <w:u w:val="single"/>
        </w:rPr>
        <w:t>　　</w:t>
      </w:r>
      <w:r>
        <w:rPr>
          <w:rFonts w:hint="eastAsia" w:ascii="楷体" w:hAnsi="楷体" w:eastAsia="楷体" w:cs="楷体"/>
          <w:b w:val="0"/>
        </w:rPr>
        <w:t>日历天内完成并移交全部工程，并确保工程质量达到</w:t>
      </w:r>
      <w:r>
        <w:rPr>
          <w:rFonts w:hint="eastAsia" w:ascii="楷体" w:hAnsi="楷体" w:eastAsia="楷体" w:cs="楷体"/>
          <w:b w:val="0"/>
          <w:u w:val="single"/>
        </w:rPr>
        <w:t>　　</w:t>
      </w:r>
      <w:r>
        <w:rPr>
          <w:rFonts w:hint="eastAsia" w:ascii="楷体" w:hAnsi="楷体" w:eastAsia="楷体" w:cs="楷体"/>
          <w:b w:val="0"/>
        </w:rPr>
        <w:t>标准，同时严格执行《建设工程质量管理条例》中有关工程保修条款。</w:t>
      </w:r>
    </w:p>
    <w:p>
      <w:pPr>
        <w:pStyle w:val="3"/>
        <w:spacing w:line="380" w:lineRule="exact"/>
        <w:ind w:firstLine="480" w:firstLineChars="200"/>
        <w:rPr>
          <w:rFonts w:ascii="楷体" w:hAnsi="楷体" w:eastAsia="楷体" w:cs="楷体"/>
          <w:b w:val="0"/>
        </w:rPr>
      </w:pPr>
      <w:r>
        <w:rPr>
          <w:rFonts w:hint="eastAsia" w:ascii="楷体" w:hAnsi="楷体" w:eastAsia="楷体" w:cs="楷体"/>
          <w:b w:val="0"/>
        </w:rPr>
        <w:t>6、如果我方在投标有效期内撤回投标、无故放弃中标资格，或违反招标文件、法律、法规规定的其他事项，我方的投标保证金贵方不予退还。</w:t>
      </w:r>
    </w:p>
    <w:p>
      <w:pPr>
        <w:pStyle w:val="3"/>
        <w:spacing w:line="380" w:lineRule="exact"/>
        <w:ind w:firstLine="480" w:firstLineChars="200"/>
        <w:rPr>
          <w:rFonts w:ascii="楷体" w:hAnsi="楷体" w:eastAsia="楷体" w:cs="楷体"/>
          <w:b w:val="0"/>
        </w:rPr>
      </w:pPr>
      <w:r>
        <w:rPr>
          <w:rFonts w:hint="eastAsia" w:ascii="楷体" w:hAnsi="楷体" w:eastAsia="楷体" w:cs="楷体"/>
          <w:b w:val="0"/>
        </w:rPr>
        <w:t>7.  我方同意所提交的投标文件在招标文件规定的投标有效期内有效，在此期间内如果中标，我方将受此约束。</w:t>
      </w:r>
    </w:p>
    <w:p>
      <w:pPr>
        <w:pStyle w:val="3"/>
        <w:spacing w:line="380" w:lineRule="exact"/>
        <w:ind w:firstLine="480" w:firstLineChars="200"/>
        <w:rPr>
          <w:rFonts w:ascii="楷体" w:hAnsi="楷体" w:eastAsia="楷体" w:cs="楷体"/>
          <w:b w:val="0"/>
        </w:rPr>
      </w:pPr>
      <w:r>
        <w:rPr>
          <w:rFonts w:hint="eastAsia" w:ascii="楷体" w:hAnsi="楷体" w:eastAsia="楷体" w:cs="楷体"/>
          <w:b w:val="0"/>
        </w:rPr>
        <w:t>8. 除非另外达成协议生效，你方的《中标通知书》和本投标文件将成为约束双方的合同文件的组成部分。</w:t>
      </w:r>
    </w:p>
    <w:p>
      <w:pPr>
        <w:pStyle w:val="3"/>
        <w:spacing w:line="380" w:lineRule="exact"/>
        <w:ind w:firstLine="1473" w:firstLineChars="614"/>
        <w:rPr>
          <w:rFonts w:ascii="楷体" w:hAnsi="楷体" w:eastAsia="楷体" w:cs="楷体"/>
          <w:b w:val="0"/>
        </w:rPr>
      </w:pPr>
    </w:p>
    <w:p>
      <w:pPr>
        <w:pStyle w:val="3"/>
        <w:spacing w:line="380" w:lineRule="exact"/>
        <w:ind w:firstLine="1305" w:firstLineChars="544"/>
        <w:rPr>
          <w:rFonts w:ascii="楷体" w:hAnsi="楷体" w:eastAsia="楷体" w:cs="楷体"/>
          <w:b w:val="0"/>
        </w:rPr>
      </w:pPr>
      <w:r>
        <w:rPr>
          <w:rFonts w:hint="eastAsia" w:ascii="楷体" w:hAnsi="楷体" w:eastAsia="楷体" w:cs="楷体"/>
          <w:b w:val="0"/>
        </w:rPr>
        <w:t>投标人（盖章）：</w:t>
      </w:r>
      <w:r>
        <w:rPr>
          <w:rFonts w:hint="eastAsia" w:ascii="楷体" w:hAnsi="楷体" w:eastAsia="楷体" w:cs="楷体"/>
          <w:b w:val="0"/>
          <w:u w:val="single"/>
        </w:rPr>
        <w:t>　　　　　　　　　　　　　　　   　　　　</w:t>
      </w:r>
    </w:p>
    <w:p>
      <w:pPr>
        <w:pStyle w:val="3"/>
        <w:spacing w:line="380" w:lineRule="exact"/>
        <w:ind w:firstLine="1200" w:firstLineChars="500"/>
        <w:rPr>
          <w:rFonts w:ascii="楷体" w:hAnsi="楷体" w:eastAsia="楷体" w:cs="楷体"/>
          <w:b w:val="0"/>
          <w:u w:val="single"/>
        </w:rPr>
      </w:pPr>
      <w:r>
        <w:rPr>
          <w:rFonts w:hint="eastAsia" w:ascii="楷体" w:hAnsi="楷体" w:eastAsia="楷体" w:cs="楷体"/>
          <w:b w:val="0"/>
        </w:rPr>
        <w:t>地址：</w:t>
      </w:r>
      <w:r>
        <w:rPr>
          <w:rFonts w:hint="eastAsia" w:ascii="楷体" w:hAnsi="楷体" w:eastAsia="楷体" w:cs="楷体"/>
          <w:b w:val="0"/>
          <w:u w:val="single"/>
        </w:rPr>
        <w:t>　　　　　　　　　   　　　　　　　　　　 　　　　</w:t>
      </w:r>
    </w:p>
    <w:p>
      <w:pPr>
        <w:pStyle w:val="3"/>
        <w:spacing w:line="380" w:lineRule="exact"/>
        <w:ind w:firstLine="1200" w:firstLineChars="500"/>
        <w:rPr>
          <w:rFonts w:ascii="楷体" w:hAnsi="楷体" w:eastAsia="楷体" w:cs="楷体"/>
          <w:b w:val="0"/>
          <w:u w:val="single"/>
        </w:rPr>
      </w:pPr>
      <w:r>
        <w:rPr>
          <w:rFonts w:hint="eastAsia" w:ascii="楷体" w:hAnsi="楷体" w:eastAsia="楷体" w:cs="楷体"/>
          <w:b w:val="0"/>
        </w:rPr>
        <w:t>法定代表人或其委托代理人（签字或盖章）：</w:t>
      </w:r>
      <w:r>
        <w:rPr>
          <w:rFonts w:hint="eastAsia" w:ascii="楷体" w:hAnsi="楷体" w:eastAsia="楷体" w:cs="楷体"/>
          <w:b w:val="0"/>
          <w:u w:val="single"/>
        </w:rPr>
        <w:t>　　　　　　 　　</w:t>
      </w:r>
    </w:p>
    <w:p>
      <w:pPr>
        <w:pStyle w:val="3"/>
        <w:spacing w:line="380" w:lineRule="exact"/>
        <w:ind w:firstLine="1200" w:firstLineChars="500"/>
        <w:rPr>
          <w:rFonts w:ascii="楷体" w:hAnsi="楷体" w:eastAsia="楷体" w:cs="楷体"/>
          <w:b w:val="0"/>
        </w:rPr>
      </w:pPr>
      <w:r>
        <w:rPr>
          <w:rFonts w:hint="eastAsia" w:ascii="楷体" w:hAnsi="楷体" w:eastAsia="楷体" w:cs="楷体"/>
          <w:b w:val="0"/>
        </w:rPr>
        <w:t>邮政编码：</w:t>
      </w:r>
      <w:r>
        <w:rPr>
          <w:rFonts w:hint="eastAsia" w:ascii="楷体" w:hAnsi="楷体" w:eastAsia="楷体" w:cs="楷体"/>
          <w:b w:val="0"/>
          <w:u w:val="single"/>
        </w:rPr>
        <w:t>　　　　</w:t>
      </w:r>
      <w:r>
        <w:rPr>
          <w:rFonts w:hint="eastAsia" w:ascii="楷体" w:hAnsi="楷体" w:eastAsia="楷体" w:cs="楷体"/>
          <w:b w:val="0"/>
        </w:rPr>
        <w:t>电话：</w:t>
      </w:r>
      <w:r>
        <w:rPr>
          <w:rFonts w:hint="eastAsia" w:ascii="楷体" w:hAnsi="楷体" w:eastAsia="楷体" w:cs="楷体"/>
          <w:b w:val="0"/>
          <w:u w:val="single"/>
        </w:rPr>
        <w:t>　　　　</w:t>
      </w:r>
      <w:r>
        <w:rPr>
          <w:rFonts w:hint="eastAsia" w:ascii="楷体" w:hAnsi="楷体" w:eastAsia="楷体" w:cs="楷体"/>
          <w:b w:val="0"/>
        </w:rPr>
        <w:t>传真：</w:t>
      </w:r>
      <w:r>
        <w:rPr>
          <w:rFonts w:hint="eastAsia" w:ascii="楷体" w:hAnsi="楷体" w:eastAsia="楷体" w:cs="楷体"/>
          <w:b w:val="0"/>
          <w:u w:val="single"/>
        </w:rPr>
        <w:t>　　　　　</w:t>
      </w:r>
      <w:r>
        <w:rPr>
          <w:rFonts w:hint="eastAsia" w:ascii="楷体" w:hAnsi="楷体" w:eastAsia="楷体" w:cs="楷体"/>
          <w:b w:val="0"/>
        </w:rPr>
        <w:t>邮箱：</w:t>
      </w:r>
      <w:r>
        <w:rPr>
          <w:rFonts w:hint="eastAsia" w:ascii="楷体" w:hAnsi="楷体" w:eastAsia="楷体" w:cs="楷体"/>
          <w:b w:val="0"/>
          <w:u w:val="single"/>
        </w:rPr>
        <w:t>　　</w:t>
      </w:r>
    </w:p>
    <w:p>
      <w:pPr>
        <w:spacing w:line="380" w:lineRule="exact"/>
        <w:ind w:firstLine="5145" w:firstLineChars="2450"/>
        <w:jc w:val="left"/>
        <w:rPr>
          <w:rFonts w:ascii="楷体" w:hAnsi="楷体" w:eastAsia="楷体" w:cs="楷体"/>
        </w:rPr>
      </w:pPr>
      <w:r>
        <w:rPr>
          <w:rFonts w:hint="eastAsia" w:ascii="楷体" w:hAnsi="楷体" w:eastAsia="楷体" w:cs="楷体"/>
        </w:rPr>
        <w:t>日期：</w:t>
      </w:r>
      <w:r>
        <w:rPr>
          <w:rFonts w:hint="eastAsia" w:ascii="楷体" w:hAnsi="楷体" w:eastAsia="楷体" w:cs="楷体"/>
          <w:u w:val="single"/>
        </w:rPr>
        <w:t>　　　年　  月　　日</w:t>
      </w:r>
    </w:p>
    <w:p>
      <w:pPr>
        <w:spacing w:line="500" w:lineRule="exact"/>
        <w:jc w:val="left"/>
        <w:rPr>
          <w:rFonts w:ascii="楷体" w:hAnsi="楷体" w:eastAsia="楷体" w:cs="楷体"/>
        </w:rPr>
      </w:pPr>
    </w:p>
    <w:p>
      <w:pPr>
        <w:widowControl/>
        <w:jc w:val="left"/>
        <w:rPr>
          <w:rFonts w:ascii="楷体" w:hAnsi="楷体" w:eastAsia="楷体" w:cs="楷体"/>
          <w:b/>
          <w:sz w:val="32"/>
          <w:szCs w:val="32"/>
        </w:rPr>
      </w:pPr>
      <w:r>
        <w:rPr>
          <w:rFonts w:ascii="楷体" w:hAnsi="楷体" w:eastAsia="楷体" w:cs="楷体"/>
          <w:b/>
          <w:sz w:val="32"/>
          <w:szCs w:val="32"/>
        </w:rPr>
        <w:br w:type="page"/>
      </w:r>
    </w:p>
    <w:p>
      <w:pPr>
        <w:spacing w:line="500" w:lineRule="exact"/>
        <w:jc w:val="left"/>
        <w:rPr>
          <w:rFonts w:ascii="楷体" w:hAnsi="楷体" w:eastAsia="楷体" w:cs="楷体"/>
          <w:b/>
          <w:sz w:val="32"/>
          <w:szCs w:val="32"/>
        </w:rPr>
      </w:pPr>
      <w:r>
        <w:rPr>
          <w:rFonts w:hint="eastAsia" w:ascii="楷体" w:hAnsi="楷体" w:eastAsia="楷体" w:cs="楷体"/>
          <w:b/>
          <w:sz w:val="32"/>
          <w:szCs w:val="32"/>
        </w:rPr>
        <w:t>附件5</w:t>
      </w:r>
    </w:p>
    <w:p>
      <w:pPr>
        <w:spacing w:line="500" w:lineRule="exact"/>
        <w:rPr>
          <w:rFonts w:ascii="楷体" w:hAnsi="楷体" w:eastAsia="楷体" w:cs="楷体"/>
          <w:sz w:val="24"/>
        </w:rPr>
      </w:pPr>
      <w:r>
        <w:rPr>
          <w:rFonts w:hint="eastAsia" w:ascii="楷体" w:hAnsi="楷体" w:eastAsia="楷体" w:cs="楷体"/>
          <w:sz w:val="24"/>
        </w:rPr>
        <w:t>一号标书封面样式：</w:t>
      </w:r>
    </w:p>
    <w:p>
      <w:pPr>
        <w:spacing w:line="520" w:lineRule="atLeast"/>
        <w:jc w:val="right"/>
        <w:rPr>
          <w:rFonts w:ascii="楷体" w:hAnsi="楷体" w:eastAsia="楷体" w:cs="楷体"/>
          <w:sz w:val="28"/>
        </w:rPr>
      </w:pPr>
      <w:r>
        <w:rPr>
          <w:rFonts w:hint="eastAsia" w:ascii="楷体" w:hAnsi="楷体" w:eastAsia="楷体" w:cs="楷体"/>
          <w:sz w:val="28"/>
          <w:u w:val="single"/>
        </w:rPr>
        <w:t xml:space="preserve">    </w:t>
      </w:r>
      <w:r>
        <w:rPr>
          <w:rFonts w:hint="eastAsia" w:ascii="楷体" w:hAnsi="楷体" w:eastAsia="楷体" w:cs="楷体"/>
          <w:sz w:val="28"/>
        </w:rPr>
        <w:t>本</w:t>
      </w:r>
    </w:p>
    <w:p>
      <w:pPr>
        <w:pStyle w:val="9"/>
        <w:adjustRightInd w:val="0"/>
        <w:snapToGrid w:val="0"/>
        <w:spacing w:line="300" w:lineRule="exact"/>
        <w:ind w:left="109" w:leftChars="52"/>
        <w:rPr>
          <w:rFonts w:ascii="楷体" w:hAnsi="楷体" w:eastAsia="楷体" w:cs="楷体"/>
          <w:b/>
          <w:bCs/>
          <w:sz w:val="32"/>
          <w:szCs w:val="32"/>
        </w:rPr>
      </w:pPr>
    </w:p>
    <w:p>
      <w:pPr>
        <w:pStyle w:val="9"/>
        <w:adjustRightInd w:val="0"/>
        <w:snapToGrid w:val="0"/>
        <w:spacing w:line="300" w:lineRule="exact"/>
        <w:rPr>
          <w:rFonts w:ascii="楷体" w:hAnsi="楷体" w:eastAsia="楷体" w:cs="楷体"/>
          <w:b/>
          <w:bCs/>
          <w:sz w:val="32"/>
          <w:szCs w:val="32"/>
        </w:rPr>
      </w:pPr>
    </w:p>
    <w:p>
      <w:pPr>
        <w:pStyle w:val="9"/>
        <w:adjustRightInd w:val="0"/>
        <w:snapToGrid w:val="0"/>
        <w:spacing w:line="300" w:lineRule="exact"/>
        <w:ind w:left="109" w:leftChars="52"/>
        <w:rPr>
          <w:rFonts w:ascii="楷体" w:hAnsi="楷体" w:eastAsia="楷体" w:cs="楷体"/>
          <w:b/>
          <w:bCs/>
          <w:sz w:val="32"/>
          <w:szCs w:val="32"/>
        </w:rPr>
      </w:pPr>
    </w:p>
    <w:p>
      <w:pPr>
        <w:pStyle w:val="9"/>
        <w:adjustRightInd w:val="0"/>
        <w:snapToGrid w:val="0"/>
        <w:jc w:val="center"/>
        <w:rPr>
          <w:rFonts w:hint="eastAsia" w:ascii="楷体" w:hAnsi="楷体" w:eastAsia="楷体" w:cs="楷体"/>
          <w:b/>
          <w:kern w:val="2"/>
          <w:sz w:val="44"/>
          <w:szCs w:val="44"/>
          <w:lang w:eastAsia="zh-CN"/>
        </w:rPr>
      </w:pPr>
      <w:r>
        <w:rPr>
          <w:rFonts w:hint="eastAsia" w:ascii="楷体" w:hAnsi="楷体" w:eastAsia="楷体" w:cs="楷体"/>
          <w:b/>
          <w:kern w:val="2"/>
          <w:sz w:val="44"/>
          <w:szCs w:val="44"/>
          <w:lang w:eastAsia="zh-CN"/>
        </w:rPr>
        <w:t>盐城工业职业技术学院经贸管理学院会计实训室改造项目</w:t>
      </w:r>
    </w:p>
    <w:p>
      <w:pPr>
        <w:spacing w:line="480" w:lineRule="auto"/>
        <w:jc w:val="center"/>
        <w:rPr>
          <w:rFonts w:ascii="楷体" w:hAnsi="楷体" w:eastAsia="楷体" w:cs="楷体"/>
          <w:b/>
          <w:sz w:val="32"/>
          <w:szCs w:val="32"/>
        </w:rPr>
      </w:pPr>
    </w:p>
    <w:p>
      <w:pPr>
        <w:spacing w:line="520" w:lineRule="atLeast"/>
        <w:rPr>
          <w:rFonts w:ascii="楷体" w:hAnsi="楷体" w:eastAsia="楷体" w:cs="楷体"/>
          <w:sz w:val="48"/>
        </w:rPr>
      </w:pPr>
    </w:p>
    <w:p>
      <w:pPr>
        <w:pStyle w:val="2"/>
        <w:ind w:firstLine="422"/>
      </w:pPr>
    </w:p>
    <w:p>
      <w:pPr>
        <w:spacing w:line="520" w:lineRule="atLeast"/>
        <w:jc w:val="center"/>
        <w:rPr>
          <w:rFonts w:ascii="楷体" w:hAnsi="楷体" w:eastAsia="楷体" w:cs="楷体"/>
          <w:b/>
          <w:bCs/>
          <w:sz w:val="72"/>
        </w:rPr>
      </w:pPr>
      <w:r>
        <w:rPr>
          <w:rFonts w:hint="eastAsia" w:ascii="楷体" w:hAnsi="楷体" w:eastAsia="楷体" w:cs="楷体"/>
          <w:b/>
          <w:bCs/>
          <w:sz w:val="72"/>
        </w:rPr>
        <w:t>投 标 文 件</w:t>
      </w:r>
    </w:p>
    <w:p>
      <w:pPr>
        <w:spacing w:line="520" w:lineRule="atLeast"/>
        <w:jc w:val="center"/>
        <w:rPr>
          <w:rFonts w:ascii="楷体" w:hAnsi="楷体" w:eastAsia="楷体" w:cs="楷体"/>
          <w:b/>
          <w:bCs/>
          <w:sz w:val="36"/>
        </w:rPr>
      </w:pPr>
    </w:p>
    <w:p>
      <w:pPr>
        <w:spacing w:line="520" w:lineRule="atLeast"/>
        <w:jc w:val="center"/>
        <w:rPr>
          <w:rFonts w:ascii="楷体" w:hAnsi="楷体" w:eastAsia="楷体" w:cs="楷体"/>
          <w:b/>
          <w:bCs/>
          <w:sz w:val="36"/>
        </w:rPr>
      </w:pPr>
      <w:r>
        <w:rPr>
          <w:rFonts w:hint="eastAsia" w:ascii="楷体" w:hAnsi="楷体" w:eastAsia="楷体" w:cs="楷体"/>
          <w:b/>
          <w:bCs/>
          <w:sz w:val="36"/>
        </w:rPr>
        <w:t>（一号标书）</w:t>
      </w:r>
    </w:p>
    <w:p>
      <w:pPr>
        <w:spacing w:line="520" w:lineRule="atLeast"/>
        <w:rPr>
          <w:rFonts w:ascii="楷体" w:hAnsi="楷体" w:eastAsia="楷体" w:cs="楷体"/>
          <w:b/>
          <w:bCs/>
          <w:sz w:val="48"/>
        </w:rPr>
      </w:pPr>
    </w:p>
    <w:p>
      <w:pPr>
        <w:spacing w:line="520" w:lineRule="atLeast"/>
        <w:rPr>
          <w:rFonts w:ascii="楷体" w:hAnsi="楷体" w:eastAsia="楷体" w:cs="楷体"/>
          <w:sz w:val="28"/>
        </w:rPr>
      </w:pPr>
    </w:p>
    <w:p>
      <w:pPr>
        <w:spacing w:line="520" w:lineRule="atLeast"/>
        <w:rPr>
          <w:rFonts w:ascii="楷体" w:hAnsi="楷体" w:eastAsia="楷体" w:cs="楷体"/>
          <w:sz w:val="28"/>
        </w:rPr>
      </w:pPr>
    </w:p>
    <w:p>
      <w:pPr>
        <w:spacing w:line="520" w:lineRule="atLeast"/>
        <w:rPr>
          <w:rFonts w:ascii="楷体" w:hAnsi="楷体" w:eastAsia="楷体" w:cs="楷体"/>
          <w:sz w:val="28"/>
        </w:rPr>
      </w:pPr>
    </w:p>
    <w:p>
      <w:pPr>
        <w:spacing w:line="500" w:lineRule="exact"/>
        <w:ind w:firstLine="480" w:firstLineChars="200"/>
        <w:rPr>
          <w:rFonts w:ascii="楷体" w:hAnsi="楷体" w:eastAsia="楷体" w:cs="楷体"/>
          <w:sz w:val="24"/>
          <w:u w:val="single"/>
        </w:rPr>
      </w:pPr>
      <w:r>
        <w:rPr>
          <w:rFonts w:hint="eastAsia" w:ascii="楷体" w:hAnsi="楷体" w:eastAsia="楷体" w:cs="楷体"/>
          <w:sz w:val="24"/>
        </w:rPr>
        <w:t>投标人（盖章）：</w:t>
      </w:r>
      <w:r>
        <w:rPr>
          <w:rFonts w:hint="eastAsia" w:ascii="楷体" w:hAnsi="楷体" w:eastAsia="楷体" w:cs="楷体"/>
          <w:sz w:val="24"/>
          <w:u w:val="single"/>
        </w:rPr>
        <w:t xml:space="preserve">                                            </w:t>
      </w:r>
    </w:p>
    <w:p>
      <w:pPr>
        <w:spacing w:line="500" w:lineRule="exact"/>
        <w:ind w:firstLine="480" w:firstLineChars="200"/>
        <w:rPr>
          <w:rFonts w:ascii="楷体" w:hAnsi="楷体" w:eastAsia="楷体" w:cs="楷体"/>
          <w:sz w:val="24"/>
        </w:rPr>
      </w:pPr>
      <w:r>
        <w:rPr>
          <w:rFonts w:hint="eastAsia" w:ascii="楷体" w:hAnsi="楷体" w:eastAsia="楷体" w:cs="楷体"/>
          <w:sz w:val="24"/>
        </w:rPr>
        <w:t xml:space="preserve"> </w:t>
      </w:r>
    </w:p>
    <w:p>
      <w:pPr>
        <w:spacing w:line="500" w:lineRule="exact"/>
        <w:ind w:firstLine="480" w:firstLineChars="200"/>
        <w:rPr>
          <w:rFonts w:ascii="楷体" w:hAnsi="楷体" w:eastAsia="楷体" w:cs="楷体"/>
          <w:sz w:val="24"/>
          <w:u w:val="single"/>
        </w:rPr>
      </w:pPr>
      <w:r>
        <w:rPr>
          <w:rFonts w:hint="eastAsia" w:ascii="楷体" w:hAnsi="楷体" w:eastAsia="楷体" w:cs="楷体"/>
          <w:sz w:val="24"/>
        </w:rPr>
        <w:t>法定代表人或授权委托人（签字或盖章）：</w:t>
      </w:r>
      <w:r>
        <w:rPr>
          <w:rFonts w:hint="eastAsia" w:ascii="楷体" w:hAnsi="楷体" w:eastAsia="楷体" w:cs="楷体"/>
          <w:sz w:val="24"/>
          <w:u w:val="single"/>
        </w:rPr>
        <w:t xml:space="preserve">                      </w:t>
      </w:r>
    </w:p>
    <w:p>
      <w:pPr>
        <w:spacing w:line="500" w:lineRule="exact"/>
        <w:ind w:firstLine="480" w:firstLineChars="200"/>
        <w:rPr>
          <w:rFonts w:ascii="楷体" w:hAnsi="楷体" w:eastAsia="楷体" w:cs="楷体"/>
          <w:sz w:val="24"/>
        </w:rPr>
      </w:pPr>
      <w:r>
        <w:rPr>
          <w:rFonts w:hint="eastAsia" w:ascii="楷体" w:hAnsi="楷体" w:eastAsia="楷体" w:cs="楷体"/>
          <w:sz w:val="24"/>
        </w:rPr>
        <w:t xml:space="preserve"> </w:t>
      </w:r>
    </w:p>
    <w:p>
      <w:pPr>
        <w:spacing w:line="500" w:lineRule="exact"/>
        <w:ind w:firstLine="480" w:firstLineChars="200"/>
        <w:rPr>
          <w:rFonts w:ascii="楷体" w:hAnsi="楷体" w:eastAsia="楷体" w:cs="楷体"/>
          <w:sz w:val="24"/>
        </w:rPr>
      </w:pPr>
    </w:p>
    <w:p>
      <w:pPr>
        <w:spacing w:line="500" w:lineRule="exact"/>
        <w:ind w:firstLine="480" w:firstLineChars="200"/>
        <w:jc w:val="center"/>
        <w:rPr>
          <w:rFonts w:ascii="楷体" w:hAnsi="楷体" w:eastAsia="楷体" w:cs="楷体"/>
          <w:b/>
          <w:sz w:val="32"/>
          <w:szCs w:val="32"/>
        </w:rPr>
      </w:pPr>
      <w:r>
        <w:rPr>
          <w:rFonts w:hint="eastAsia" w:ascii="楷体" w:hAnsi="楷体" w:eastAsia="楷体" w:cs="楷体"/>
          <w:sz w:val="24"/>
        </w:rPr>
        <w:t>年     月     日</w:t>
      </w:r>
    </w:p>
    <w:p>
      <w:pPr>
        <w:pStyle w:val="2"/>
        <w:ind w:left="0" w:leftChars="0" w:firstLine="0" w:firstLineChars="0"/>
      </w:pPr>
    </w:p>
    <w:p>
      <w:pPr>
        <w:rPr>
          <w:rFonts w:ascii="楷体" w:hAnsi="楷体" w:eastAsia="楷体" w:cs="楷体"/>
          <w:b/>
          <w:sz w:val="32"/>
          <w:szCs w:val="32"/>
        </w:rPr>
      </w:pPr>
      <w:r>
        <w:rPr>
          <w:rFonts w:hint="eastAsia" w:ascii="楷体" w:hAnsi="楷体" w:eastAsia="楷体" w:cs="楷体"/>
          <w:b/>
          <w:sz w:val="32"/>
          <w:szCs w:val="32"/>
        </w:rPr>
        <w:br w:type="page"/>
      </w:r>
    </w:p>
    <w:p>
      <w:pPr>
        <w:spacing w:line="500" w:lineRule="exact"/>
        <w:rPr>
          <w:rFonts w:ascii="楷体" w:hAnsi="楷体" w:eastAsia="楷体" w:cs="楷体"/>
          <w:b/>
          <w:sz w:val="32"/>
          <w:szCs w:val="32"/>
        </w:rPr>
      </w:pPr>
      <w:r>
        <w:rPr>
          <w:rFonts w:hint="eastAsia" w:ascii="楷体" w:hAnsi="楷体" w:eastAsia="楷体" w:cs="楷体"/>
          <w:b/>
          <w:sz w:val="32"/>
          <w:szCs w:val="32"/>
        </w:rPr>
        <w:t>附件6</w:t>
      </w:r>
    </w:p>
    <w:tbl>
      <w:tblPr>
        <w:tblStyle w:val="18"/>
        <w:tblW w:w="9469" w:type="dxa"/>
        <w:tblInd w:w="0" w:type="dxa"/>
        <w:tblLayout w:type="fixed"/>
        <w:tblCellMar>
          <w:top w:w="0" w:type="dxa"/>
          <w:left w:w="108" w:type="dxa"/>
          <w:bottom w:w="0" w:type="dxa"/>
          <w:right w:w="108" w:type="dxa"/>
        </w:tblCellMar>
      </w:tblPr>
      <w:tblGrid>
        <w:gridCol w:w="1103"/>
        <w:gridCol w:w="1833"/>
        <w:gridCol w:w="3113"/>
        <w:gridCol w:w="3420"/>
      </w:tblGrid>
      <w:tr>
        <w:tblPrEx>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vAlign w:val="center"/>
          </w:tcPr>
          <w:p>
            <w:pPr>
              <w:widowControl/>
              <w:jc w:val="center"/>
              <w:rPr>
                <w:rFonts w:ascii="楷体" w:hAnsi="楷体" w:eastAsia="楷体" w:cs="楷体"/>
                <w:b/>
                <w:bCs/>
                <w:kern w:val="0"/>
                <w:sz w:val="44"/>
                <w:szCs w:val="44"/>
              </w:rPr>
            </w:pPr>
            <w:r>
              <w:rPr>
                <w:rFonts w:hint="eastAsia" w:ascii="楷体" w:hAnsi="楷体" w:eastAsia="楷体" w:cs="楷体"/>
                <w:b/>
                <w:bCs/>
                <w:kern w:val="0"/>
                <w:sz w:val="44"/>
                <w:szCs w:val="44"/>
              </w:rPr>
              <w:t>投标文件原件清单</w:t>
            </w:r>
          </w:p>
        </w:tc>
      </w:tr>
      <w:tr>
        <w:tblPrEx>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vAlign w:val="center"/>
          </w:tcPr>
          <w:p>
            <w:pPr>
              <w:widowControl/>
              <w:jc w:val="left"/>
              <w:rPr>
                <w:rFonts w:ascii="楷体" w:hAnsi="楷体" w:eastAsia="楷体" w:cs="楷体"/>
                <w:b/>
                <w:bCs/>
                <w:kern w:val="0"/>
                <w:sz w:val="22"/>
                <w:szCs w:val="22"/>
              </w:rPr>
            </w:pPr>
            <w:r>
              <w:rPr>
                <w:rFonts w:hint="eastAsia" w:ascii="楷体" w:hAnsi="楷体" w:eastAsia="楷体" w:cs="楷体"/>
                <w:b/>
                <w:bCs/>
                <w:kern w:val="0"/>
                <w:sz w:val="22"/>
                <w:szCs w:val="22"/>
              </w:rPr>
              <w:t>投标人名称：</w:t>
            </w:r>
          </w:p>
        </w:tc>
        <w:tc>
          <w:tcPr>
            <w:tcW w:w="3113" w:type="dxa"/>
            <w:tcBorders>
              <w:top w:val="nil"/>
              <w:left w:val="nil"/>
              <w:bottom w:val="single" w:color="auto" w:sz="4" w:space="0"/>
              <w:right w:val="nil"/>
            </w:tcBorders>
            <w:vAlign w:val="center"/>
          </w:tcPr>
          <w:p>
            <w:pPr>
              <w:widowControl/>
              <w:jc w:val="center"/>
              <w:rPr>
                <w:rFonts w:ascii="楷体" w:hAnsi="楷体" w:eastAsia="楷体" w:cs="楷体"/>
                <w:b/>
                <w:bCs/>
                <w:kern w:val="0"/>
                <w:sz w:val="32"/>
                <w:szCs w:val="32"/>
              </w:rPr>
            </w:pPr>
            <w:r>
              <w:rPr>
                <w:rFonts w:hint="eastAsia" w:ascii="楷体" w:hAnsi="楷体" w:eastAsia="楷体" w:cs="楷体"/>
                <w:b/>
                <w:bCs/>
                <w:kern w:val="0"/>
                <w:sz w:val="32"/>
                <w:szCs w:val="32"/>
              </w:rPr>
              <w:t>　</w:t>
            </w:r>
          </w:p>
        </w:tc>
        <w:tc>
          <w:tcPr>
            <w:tcW w:w="3420" w:type="dxa"/>
            <w:tcBorders>
              <w:top w:val="nil"/>
              <w:left w:val="nil"/>
              <w:bottom w:val="single" w:color="auto" w:sz="4" w:space="0"/>
              <w:right w:val="nil"/>
            </w:tcBorders>
            <w:vAlign w:val="center"/>
          </w:tcPr>
          <w:p>
            <w:pPr>
              <w:widowControl/>
              <w:jc w:val="center"/>
              <w:rPr>
                <w:rFonts w:ascii="楷体" w:hAnsi="楷体" w:eastAsia="楷体" w:cs="楷体"/>
                <w:b/>
                <w:bCs/>
                <w:kern w:val="0"/>
                <w:sz w:val="32"/>
                <w:szCs w:val="32"/>
              </w:rPr>
            </w:pPr>
            <w:r>
              <w:rPr>
                <w:rFonts w:hint="eastAsia" w:ascii="楷体" w:hAnsi="楷体" w:eastAsia="楷体" w:cs="楷体"/>
                <w:b/>
                <w:bCs/>
                <w:kern w:val="0"/>
                <w:sz w:val="32"/>
                <w:szCs w:val="32"/>
              </w:rPr>
              <w:t>　</w:t>
            </w:r>
          </w:p>
        </w:tc>
      </w:tr>
      <w:tr>
        <w:tblPrEx>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b/>
                <w:bCs/>
                <w:kern w:val="0"/>
                <w:sz w:val="24"/>
              </w:rPr>
              <w:t>序</w:t>
            </w:r>
            <w:r>
              <w:rPr>
                <w:rFonts w:hint="eastAsia" w:ascii="楷体" w:hAnsi="楷体" w:eastAsia="楷体" w:cs="楷体"/>
                <w:b/>
                <w:bCs/>
                <w:kern w:val="0"/>
                <w:sz w:val="24"/>
              </w:rPr>
              <w:br w:type="textWrapping"/>
            </w:r>
            <w:r>
              <w:rPr>
                <w:rFonts w:hint="eastAsia" w:ascii="楷体" w:hAnsi="楷体" w:eastAsia="楷体" w:cs="楷体"/>
                <w:b/>
                <w:bCs/>
                <w:kern w:val="0"/>
                <w:sz w:val="24"/>
              </w:rPr>
              <w:t>号</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b/>
                <w:bCs/>
                <w:kern w:val="0"/>
                <w:sz w:val="24"/>
              </w:rPr>
            </w:pPr>
            <w:r>
              <w:rPr>
                <w:rFonts w:hint="eastAsia" w:ascii="楷体" w:hAnsi="楷体" w:eastAsia="楷体" w:cs="楷体"/>
                <w:b/>
                <w:bCs/>
                <w:kern w:val="0"/>
                <w:sz w:val="24"/>
              </w:rPr>
              <w:t>原件名称</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b/>
                <w:bCs/>
                <w:kern w:val="0"/>
                <w:sz w:val="24"/>
              </w:rPr>
              <w:t>备　　注</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3</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4</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5</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6</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7</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8</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9</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12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vAlign w:val="center"/>
          </w:tcPr>
          <w:p>
            <w:pPr>
              <w:widowControl/>
              <w:spacing w:line="440" w:lineRule="exact"/>
              <w:jc w:val="left"/>
              <w:rPr>
                <w:rFonts w:ascii="楷体" w:hAnsi="楷体" w:eastAsia="楷体" w:cs="楷体"/>
                <w:kern w:val="0"/>
                <w:sz w:val="24"/>
              </w:rPr>
            </w:pPr>
            <w:r>
              <w:rPr>
                <w:rFonts w:hint="eastAsia" w:ascii="楷体" w:hAnsi="楷体" w:eastAsia="楷体" w:cs="楷体"/>
                <w:kern w:val="0"/>
                <w:sz w:val="24"/>
              </w:rPr>
              <w:t>注：</w:t>
            </w:r>
          </w:p>
          <w:p>
            <w:pPr>
              <w:widowControl/>
              <w:spacing w:line="440" w:lineRule="exact"/>
              <w:ind w:firstLine="480" w:firstLineChars="200"/>
              <w:jc w:val="left"/>
              <w:rPr>
                <w:rFonts w:ascii="楷体" w:hAnsi="楷体" w:eastAsia="楷体" w:cs="楷体"/>
                <w:kern w:val="0"/>
                <w:sz w:val="20"/>
                <w:szCs w:val="20"/>
              </w:rPr>
            </w:pPr>
            <w:r>
              <w:rPr>
                <w:rFonts w:hint="eastAsia" w:ascii="楷体" w:hAnsi="楷体" w:eastAsia="楷体" w:cs="楷体"/>
                <w:kern w:val="0"/>
                <w:sz w:val="24"/>
              </w:rPr>
              <w:t>1、本表仅为核对投标人提供的证书等招标项目评标所需材料原件之用，如本表填写不下可按相同格式进行扩展；</w:t>
            </w:r>
            <w:r>
              <w:rPr>
                <w:rFonts w:hint="eastAsia" w:ascii="楷体" w:hAnsi="楷体" w:eastAsia="楷体" w:cs="楷体"/>
                <w:kern w:val="0"/>
                <w:sz w:val="24"/>
              </w:rPr>
              <w:br w:type="textWrapping"/>
            </w:r>
            <w:r>
              <w:rPr>
                <w:rFonts w:hint="eastAsia" w:ascii="楷体" w:hAnsi="楷体" w:eastAsia="楷体" w:cs="楷体"/>
                <w:kern w:val="0"/>
                <w:sz w:val="24"/>
              </w:rPr>
              <w:t>　　2、如因投标人未按要求填写本表或填写内容表述不清造成原件材料缺失或无法核对，后果由投标人自负。</w:t>
            </w:r>
          </w:p>
        </w:tc>
      </w:tr>
    </w:tbl>
    <w:p>
      <w:pPr>
        <w:spacing w:line="300" w:lineRule="auto"/>
        <w:rPr>
          <w:rFonts w:ascii="楷体" w:hAnsi="楷体" w:eastAsia="楷体" w:cs="楷体"/>
        </w:rPr>
      </w:pPr>
    </w:p>
    <w:p>
      <w:pPr>
        <w:pStyle w:val="2"/>
        <w:ind w:firstLine="422"/>
      </w:pPr>
    </w:p>
    <w:p>
      <w:pPr>
        <w:pStyle w:val="2"/>
        <w:ind w:firstLine="422"/>
      </w:pPr>
    </w:p>
    <w:p>
      <w:pPr>
        <w:rPr>
          <w:rFonts w:ascii="楷体" w:hAnsi="楷体" w:eastAsia="楷体" w:cs="楷体"/>
        </w:rPr>
      </w:pPr>
    </w:p>
    <w:p>
      <w:pPr>
        <w:rPr>
          <w:rFonts w:ascii="楷体" w:hAnsi="楷体" w:eastAsia="楷体" w:cs="楷体"/>
          <w:b/>
          <w:sz w:val="32"/>
          <w:szCs w:val="32"/>
        </w:rPr>
      </w:pPr>
      <w:r>
        <w:rPr>
          <w:rFonts w:hint="eastAsia" w:ascii="楷体" w:hAnsi="楷体" w:eastAsia="楷体" w:cs="楷体"/>
          <w:b/>
          <w:sz w:val="32"/>
          <w:szCs w:val="32"/>
        </w:rPr>
        <w:t>附件7</w:t>
      </w:r>
    </w:p>
    <w:p>
      <w:pPr>
        <w:jc w:val="center"/>
        <w:rPr>
          <w:rFonts w:ascii="楷体" w:hAnsi="楷体" w:eastAsia="楷体" w:cs="楷体"/>
          <w:b/>
          <w:sz w:val="44"/>
          <w:szCs w:val="44"/>
        </w:rPr>
      </w:pPr>
      <w:r>
        <w:rPr>
          <w:rFonts w:hint="eastAsia" w:ascii="楷体" w:hAnsi="楷体" w:eastAsia="楷体" w:cs="楷体"/>
          <w:b/>
          <w:sz w:val="44"/>
          <w:szCs w:val="44"/>
        </w:rPr>
        <w:t>异议书（格式）</w:t>
      </w:r>
    </w:p>
    <w:p>
      <w:pPr>
        <w:jc w:val="center"/>
        <w:rPr>
          <w:rFonts w:ascii="楷体" w:hAnsi="楷体" w:eastAsia="楷体" w:cs="楷体"/>
          <w:sz w:val="36"/>
          <w:szCs w:val="36"/>
        </w:rPr>
      </w:pPr>
    </w:p>
    <w:p>
      <w:pPr>
        <w:spacing w:line="360" w:lineRule="auto"/>
        <w:jc w:val="left"/>
        <w:rPr>
          <w:rFonts w:ascii="楷体" w:hAnsi="楷体" w:eastAsia="楷体" w:cs="楷体"/>
          <w:sz w:val="24"/>
        </w:rPr>
      </w:pPr>
      <w:r>
        <w:rPr>
          <w:rFonts w:hint="eastAsia" w:ascii="楷体" w:hAnsi="楷体" w:eastAsia="楷体" w:cs="楷体"/>
          <w:sz w:val="24"/>
        </w:rPr>
        <w:t>项目名称：</w:t>
      </w:r>
    </w:p>
    <w:p>
      <w:pPr>
        <w:spacing w:line="360" w:lineRule="auto"/>
        <w:jc w:val="left"/>
        <w:rPr>
          <w:rFonts w:ascii="楷体" w:hAnsi="楷体" w:eastAsia="楷体" w:cs="楷体"/>
          <w:sz w:val="24"/>
        </w:rPr>
      </w:pPr>
      <w:r>
        <w:rPr>
          <w:rFonts w:hint="eastAsia" w:ascii="楷体" w:hAnsi="楷体" w:eastAsia="楷体" w:cs="楷体"/>
          <w:sz w:val="24"/>
        </w:rPr>
        <w:t>异议人：</w:t>
      </w:r>
    </w:p>
    <w:p>
      <w:pPr>
        <w:spacing w:line="360" w:lineRule="auto"/>
        <w:jc w:val="left"/>
        <w:rPr>
          <w:rFonts w:ascii="楷体" w:hAnsi="楷体" w:eastAsia="楷体" w:cs="楷体"/>
          <w:sz w:val="24"/>
        </w:rPr>
      </w:pPr>
      <w:r>
        <w:rPr>
          <w:rFonts w:hint="eastAsia" w:ascii="楷体" w:hAnsi="楷体" w:eastAsia="楷体" w:cs="楷体"/>
          <w:sz w:val="24"/>
        </w:rPr>
        <w:t>住所地：                  邮编：</w:t>
      </w:r>
    </w:p>
    <w:p>
      <w:pPr>
        <w:spacing w:line="360" w:lineRule="auto"/>
        <w:jc w:val="left"/>
        <w:rPr>
          <w:rFonts w:ascii="楷体" w:hAnsi="楷体" w:eastAsia="楷体" w:cs="楷体"/>
          <w:sz w:val="24"/>
        </w:rPr>
      </w:pPr>
      <w:r>
        <w:rPr>
          <w:rFonts w:hint="eastAsia" w:ascii="楷体" w:hAnsi="楷体" w:eastAsia="楷体" w:cs="楷体"/>
          <w:sz w:val="24"/>
        </w:rPr>
        <w:t>法定代表人：             联系电话</w:t>
      </w:r>
    </w:p>
    <w:p>
      <w:pPr>
        <w:spacing w:line="360" w:lineRule="auto"/>
        <w:jc w:val="left"/>
        <w:rPr>
          <w:rFonts w:ascii="楷体" w:hAnsi="楷体" w:eastAsia="楷体" w:cs="楷体"/>
          <w:sz w:val="24"/>
        </w:rPr>
      </w:pPr>
      <w:r>
        <w:rPr>
          <w:rFonts w:hint="eastAsia" w:ascii="楷体" w:hAnsi="楷体" w:eastAsia="楷体" w:cs="楷体"/>
          <w:sz w:val="24"/>
        </w:rPr>
        <w:t>异议人授权代表：        性别：        年龄：</w:t>
      </w:r>
    </w:p>
    <w:p>
      <w:pPr>
        <w:spacing w:line="360" w:lineRule="auto"/>
        <w:jc w:val="left"/>
        <w:rPr>
          <w:rFonts w:ascii="楷体" w:hAnsi="楷体" w:eastAsia="楷体" w:cs="楷体"/>
          <w:sz w:val="24"/>
        </w:rPr>
      </w:pPr>
      <w:r>
        <w:rPr>
          <w:rFonts w:hint="eastAsia" w:ascii="楷体" w:hAnsi="楷体" w:eastAsia="楷体" w:cs="楷体"/>
          <w:sz w:val="24"/>
        </w:rPr>
        <w:t>住址：                    联系电话：</w:t>
      </w:r>
    </w:p>
    <w:p>
      <w:pPr>
        <w:spacing w:line="360" w:lineRule="auto"/>
        <w:jc w:val="left"/>
        <w:rPr>
          <w:rFonts w:ascii="楷体" w:hAnsi="楷体" w:eastAsia="楷体" w:cs="楷体"/>
          <w:sz w:val="24"/>
        </w:rPr>
      </w:pPr>
      <w:r>
        <w:rPr>
          <w:rFonts w:hint="eastAsia" w:ascii="楷体" w:hAnsi="楷体" w:eastAsia="楷体" w:cs="楷体"/>
          <w:sz w:val="24"/>
        </w:rPr>
        <w:t>提起异议事项的基本事实：</w:t>
      </w: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r>
        <w:rPr>
          <w:rFonts w:hint="eastAsia" w:ascii="楷体" w:hAnsi="楷体" w:eastAsia="楷体" w:cs="楷体"/>
          <w:sz w:val="24"/>
        </w:rPr>
        <w:t>相关请求及主张：</w:t>
      </w: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r>
        <w:rPr>
          <w:rFonts w:hint="eastAsia" w:ascii="楷体" w:hAnsi="楷体" w:eastAsia="楷体" w:cs="楷体"/>
          <w:sz w:val="24"/>
        </w:rPr>
        <w:t>有效线索和相关证明材料：</w:t>
      </w: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p>
    <w:p>
      <w:pPr>
        <w:spacing w:line="360" w:lineRule="auto"/>
        <w:jc w:val="left"/>
        <w:rPr>
          <w:rFonts w:ascii="楷体" w:hAnsi="楷体" w:eastAsia="楷体" w:cs="楷体"/>
          <w:sz w:val="24"/>
        </w:rPr>
      </w:pPr>
      <w:r>
        <w:rPr>
          <w:rFonts w:hint="eastAsia" w:ascii="楷体" w:hAnsi="楷体" w:eastAsia="楷体" w:cs="楷体"/>
          <w:sz w:val="24"/>
        </w:rPr>
        <w:t>异议人与提起项目有利害关系的证明材料：</w:t>
      </w:r>
    </w:p>
    <w:p>
      <w:pPr>
        <w:spacing w:line="360" w:lineRule="auto"/>
        <w:jc w:val="center"/>
        <w:rPr>
          <w:rFonts w:ascii="楷体" w:hAnsi="楷体" w:eastAsia="楷体" w:cs="楷体"/>
          <w:sz w:val="24"/>
        </w:rPr>
      </w:pPr>
    </w:p>
    <w:p>
      <w:pPr>
        <w:spacing w:line="360" w:lineRule="auto"/>
        <w:jc w:val="center"/>
        <w:rPr>
          <w:rFonts w:ascii="楷体" w:hAnsi="楷体" w:eastAsia="楷体" w:cs="楷体"/>
          <w:sz w:val="24"/>
        </w:rPr>
      </w:pPr>
    </w:p>
    <w:p>
      <w:pPr>
        <w:spacing w:line="360" w:lineRule="auto"/>
        <w:jc w:val="center"/>
        <w:rPr>
          <w:rFonts w:ascii="楷体" w:hAnsi="楷体" w:eastAsia="楷体" w:cs="楷体"/>
          <w:sz w:val="24"/>
        </w:rPr>
      </w:pPr>
      <w:r>
        <w:rPr>
          <w:rFonts w:hint="eastAsia" w:ascii="楷体" w:hAnsi="楷体" w:eastAsia="楷体" w:cs="楷体"/>
          <w:sz w:val="24"/>
        </w:rPr>
        <w:t xml:space="preserve">                                           异议人（公章）：</w:t>
      </w:r>
    </w:p>
    <w:p>
      <w:pPr>
        <w:spacing w:line="360" w:lineRule="auto"/>
        <w:jc w:val="center"/>
        <w:rPr>
          <w:rFonts w:ascii="楷体" w:hAnsi="楷体" w:eastAsia="楷体" w:cs="楷体"/>
          <w:sz w:val="24"/>
        </w:rPr>
      </w:pPr>
      <w:r>
        <w:rPr>
          <w:rFonts w:hint="eastAsia" w:ascii="楷体" w:hAnsi="楷体" w:eastAsia="楷体" w:cs="楷体"/>
          <w:sz w:val="24"/>
        </w:rPr>
        <w:t xml:space="preserve">                                          法定代表人或授权代表（签字）</w:t>
      </w:r>
    </w:p>
    <w:p>
      <w:pPr>
        <w:spacing w:line="360" w:lineRule="auto"/>
        <w:jc w:val="center"/>
        <w:rPr>
          <w:rFonts w:ascii="楷体" w:hAnsi="楷体" w:eastAsia="楷体" w:cs="楷体"/>
          <w:sz w:val="24"/>
        </w:rPr>
      </w:pPr>
      <w:r>
        <w:rPr>
          <w:rFonts w:hint="eastAsia" w:ascii="楷体" w:hAnsi="楷体" w:eastAsia="楷体" w:cs="楷体"/>
          <w:sz w:val="24"/>
        </w:rPr>
        <w:t xml:space="preserve">                                      年     月     日</w:t>
      </w:r>
    </w:p>
    <w:p>
      <w:pPr>
        <w:spacing w:line="360" w:lineRule="auto"/>
        <w:jc w:val="center"/>
        <w:rPr>
          <w:rFonts w:ascii="楷体" w:hAnsi="楷体" w:eastAsia="楷体" w:cs="楷体"/>
          <w:sz w:val="24"/>
        </w:rPr>
      </w:pPr>
    </w:p>
    <w:p>
      <w:pPr>
        <w:spacing w:line="360" w:lineRule="auto"/>
        <w:jc w:val="left"/>
        <w:rPr>
          <w:rFonts w:ascii="楷体" w:hAnsi="楷体" w:eastAsia="楷体" w:cs="楷体"/>
          <w:sz w:val="24"/>
        </w:rPr>
      </w:pPr>
      <w:r>
        <w:rPr>
          <w:rFonts w:hint="eastAsia" w:ascii="楷体" w:hAnsi="楷体" w:eastAsia="楷体" w:cs="楷体"/>
          <w:sz w:val="24"/>
        </w:rPr>
        <w:t>说明：</w:t>
      </w:r>
    </w:p>
    <w:p>
      <w:pPr>
        <w:spacing w:line="360" w:lineRule="auto"/>
        <w:jc w:val="left"/>
        <w:rPr>
          <w:rFonts w:ascii="楷体" w:hAnsi="楷体" w:eastAsia="楷体" w:cs="楷体"/>
          <w:sz w:val="24"/>
        </w:rPr>
      </w:pPr>
      <w:r>
        <w:rPr>
          <w:rFonts w:hint="eastAsia" w:ascii="楷体" w:hAnsi="楷体" w:eastAsia="楷体" w:cs="楷体"/>
          <w:sz w:val="24"/>
        </w:rPr>
        <w:t>1.异议人是法人的，异议书必须由其法定代表人或者授权代表签字并盖章。</w:t>
      </w:r>
    </w:p>
    <w:p>
      <w:pPr>
        <w:spacing w:line="360" w:lineRule="auto"/>
        <w:jc w:val="left"/>
        <w:rPr>
          <w:rFonts w:ascii="楷体" w:hAnsi="楷体" w:eastAsia="楷体" w:cs="楷体"/>
          <w:b/>
          <w:sz w:val="32"/>
          <w:szCs w:val="32"/>
        </w:rPr>
        <w:sectPr>
          <w:headerReference r:id="rId3" w:type="default"/>
          <w:footerReference r:id="rId4" w:type="default"/>
          <w:pgSz w:w="11906" w:h="16838"/>
          <w:pgMar w:top="1701" w:right="1418" w:bottom="1440" w:left="1418" w:header="851" w:footer="992" w:gutter="0"/>
          <w:cols w:space="425" w:num="1"/>
          <w:docGrid w:type="linesAndChars" w:linePitch="312" w:charSpace="0"/>
        </w:sectPr>
      </w:pPr>
      <w:r>
        <w:rPr>
          <w:rFonts w:hint="eastAsia" w:ascii="楷体" w:hAnsi="楷体" w:eastAsia="楷体" w:cs="楷体"/>
          <w:sz w:val="24"/>
        </w:rPr>
        <w:t>2.异议书有关材料是外文的，异议人应当同时提供其中文译本。</w:t>
      </w:r>
    </w:p>
    <w:p>
      <w:pPr>
        <w:rPr>
          <w:rFonts w:ascii="楷体" w:hAnsi="楷体" w:eastAsia="楷体" w:cs="楷体"/>
          <w:b/>
          <w:sz w:val="32"/>
          <w:szCs w:val="32"/>
        </w:rPr>
      </w:pPr>
      <w:r>
        <w:rPr>
          <w:rFonts w:hint="eastAsia" w:ascii="楷体" w:hAnsi="楷体" w:eastAsia="楷体" w:cs="楷体"/>
          <w:b/>
          <w:sz w:val="32"/>
          <w:szCs w:val="32"/>
        </w:rPr>
        <w:t>附件8</w:t>
      </w:r>
    </w:p>
    <w:p>
      <w:pPr>
        <w:jc w:val="center"/>
      </w:pPr>
      <w:r>
        <w:rPr>
          <w:rFonts w:hint="eastAsia" w:ascii="楷体" w:hAnsi="楷体" w:eastAsia="楷体" w:cs="楷体"/>
          <w:b/>
          <w:color w:val="auto"/>
          <w:sz w:val="32"/>
          <w:szCs w:val="32"/>
          <w:highlight w:val="none"/>
        </w:rPr>
        <w:t>工程量清单计价成果文件（投标报价明细表）</w:t>
      </w:r>
    </w:p>
    <w:tbl>
      <w:tblPr>
        <w:tblStyle w:val="18"/>
        <w:tblW w:w="10833" w:type="dxa"/>
        <w:tblInd w:w="-926" w:type="dxa"/>
        <w:shd w:val="clear" w:color="auto" w:fill="auto"/>
        <w:tblLayout w:type="fixed"/>
        <w:tblCellMar>
          <w:top w:w="0" w:type="dxa"/>
          <w:left w:w="0" w:type="dxa"/>
          <w:bottom w:w="0" w:type="dxa"/>
          <w:right w:w="0" w:type="dxa"/>
        </w:tblCellMar>
      </w:tblPr>
      <w:tblGrid>
        <w:gridCol w:w="583"/>
        <w:gridCol w:w="1483"/>
        <w:gridCol w:w="4967"/>
        <w:gridCol w:w="906"/>
        <w:gridCol w:w="1000"/>
        <w:gridCol w:w="883"/>
        <w:gridCol w:w="1011"/>
      </w:tblGrid>
      <w:tr>
        <w:tblPrEx>
          <w:shd w:val="clear" w:color="auto" w:fill="auto"/>
          <w:tblCellMar>
            <w:top w:w="0" w:type="dxa"/>
            <w:left w:w="0" w:type="dxa"/>
            <w:bottom w:w="0" w:type="dxa"/>
            <w:right w:w="0" w:type="dxa"/>
          </w:tblCellMar>
        </w:tblPrEx>
        <w:trPr>
          <w:trHeight w:val="353" w:hRule="atLeast"/>
        </w:trPr>
        <w:tc>
          <w:tcPr>
            <w:tcW w:w="9822"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工程名称：盐城工业职业技术学院经贸学院会计实训中心装饰工程（装饰）</w:t>
            </w:r>
          </w:p>
        </w:tc>
        <w:tc>
          <w:tcPr>
            <w:tcW w:w="1011" w:type="dxa"/>
            <w:tcBorders>
              <w:top w:val="nil"/>
              <w:left w:val="nil"/>
              <w:bottom w:val="nil"/>
              <w:right w:val="nil"/>
            </w:tcBorders>
            <w:shd w:val="clear" w:color="auto" w:fill="auto"/>
            <w:tcMar>
              <w:top w:w="15" w:type="dxa"/>
              <w:left w:w="15" w:type="dxa"/>
              <w:right w:w="15" w:type="dxa"/>
            </w:tcMar>
            <w:vAlign w:val="center"/>
          </w:tcPr>
          <w:p>
            <w:pPr>
              <w:jc w:val="right"/>
              <w:rPr>
                <w:rFonts w:hint="eastAsia" w:ascii="黑体" w:hAnsi="宋体" w:eastAsia="黑体" w:cs="黑体"/>
                <w:i w:val="0"/>
                <w:color w:val="000000"/>
                <w:sz w:val="21"/>
                <w:szCs w:val="21"/>
                <w:u w:val="none"/>
              </w:rPr>
            </w:pPr>
          </w:p>
        </w:tc>
      </w:tr>
      <w:tr>
        <w:tblPrEx>
          <w:tblCellMar>
            <w:top w:w="0" w:type="dxa"/>
            <w:left w:w="0" w:type="dxa"/>
            <w:bottom w:w="0" w:type="dxa"/>
            <w:right w:w="0" w:type="dxa"/>
          </w:tblCellMar>
        </w:tblPrEx>
        <w:trPr>
          <w:trHeight w:val="338"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1"/>
                <w:szCs w:val="21"/>
                <w:u w:val="none"/>
              </w:rPr>
            </w:pPr>
            <w:r>
              <w:rPr>
                <w:rFonts w:hint="eastAsia" w:ascii="黑体" w:hAnsi="宋体" w:eastAsia="黑体" w:cs="黑体"/>
                <w:b/>
                <w:i w:val="0"/>
                <w:color w:val="000000"/>
                <w:kern w:val="0"/>
                <w:sz w:val="21"/>
                <w:szCs w:val="21"/>
                <w:u w:val="none"/>
                <w:lang w:val="en-US" w:eastAsia="zh-CN" w:bidi="ar"/>
              </w:rPr>
              <w:t>序号</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1"/>
                <w:szCs w:val="21"/>
                <w:u w:val="none"/>
              </w:rPr>
            </w:pPr>
            <w:r>
              <w:rPr>
                <w:rFonts w:hint="eastAsia" w:ascii="黑体" w:hAnsi="宋体" w:eastAsia="黑体" w:cs="黑体"/>
                <w:b/>
                <w:i w:val="0"/>
                <w:color w:val="000000"/>
                <w:kern w:val="0"/>
                <w:sz w:val="21"/>
                <w:szCs w:val="21"/>
                <w:u w:val="none"/>
                <w:lang w:val="en-US" w:eastAsia="zh-CN" w:bidi="ar"/>
              </w:rPr>
              <w:t>项目编码</w:t>
            </w:r>
          </w:p>
        </w:tc>
        <w:tc>
          <w:tcPr>
            <w:tcW w:w="496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1"/>
                <w:szCs w:val="21"/>
                <w:u w:val="none"/>
              </w:rPr>
            </w:pPr>
            <w:r>
              <w:rPr>
                <w:rFonts w:hint="eastAsia" w:ascii="黑体" w:hAnsi="宋体" w:eastAsia="黑体" w:cs="黑体"/>
                <w:b/>
                <w:i w:val="0"/>
                <w:color w:val="000000"/>
                <w:kern w:val="0"/>
                <w:sz w:val="21"/>
                <w:szCs w:val="21"/>
                <w:u w:val="none"/>
                <w:lang w:val="en-US" w:eastAsia="zh-CN" w:bidi="ar"/>
              </w:rPr>
              <w:t>项目名称</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1"/>
                <w:szCs w:val="21"/>
                <w:u w:val="none"/>
              </w:rPr>
            </w:pPr>
            <w:r>
              <w:rPr>
                <w:rFonts w:hint="eastAsia" w:ascii="黑体" w:hAnsi="宋体" w:eastAsia="黑体" w:cs="黑体"/>
                <w:b/>
                <w:i w:val="0"/>
                <w:color w:val="000000"/>
                <w:kern w:val="0"/>
                <w:sz w:val="21"/>
                <w:szCs w:val="21"/>
                <w:u w:val="none"/>
                <w:lang w:val="en-US" w:eastAsia="zh-CN" w:bidi="ar"/>
              </w:rPr>
              <w:t>单位</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1"/>
                <w:szCs w:val="21"/>
                <w:u w:val="none"/>
              </w:rPr>
            </w:pPr>
            <w:r>
              <w:rPr>
                <w:rFonts w:hint="eastAsia" w:ascii="黑体" w:hAnsi="宋体" w:eastAsia="黑体" w:cs="黑体"/>
                <w:b/>
                <w:i w:val="0"/>
                <w:color w:val="000000"/>
                <w:kern w:val="0"/>
                <w:sz w:val="21"/>
                <w:szCs w:val="21"/>
                <w:u w:val="none"/>
                <w:lang w:val="en-US" w:eastAsia="zh-CN" w:bidi="ar"/>
              </w:rPr>
              <w:t>工程量</w:t>
            </w:r>
          </w:p>
        </w:tc>
        <w:tc>
          <w:tcPr>
            <w:tcW w:w="189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1"/>
                <w:szCs w:val="21"/>
                <w:u w:val="none"/>
              </w:rPr>
            </w:pPr>
            <w:r>
              <w:rPr>
                <w:rFonts w:hint="eastAsia" w:ascii="黑体" w:hAnsi="宋体" w:eastAsia="黑体" w:cs="黑体"/>
                <w:b/>
                <w:i w:val="0"/>
                <w:color w:val="000000"/>
                <w:kern w:val="0"/>
                <w:sz w:val="21"/>
                <w:szCs w:val="21"/>
                <w:u w:val="none"/>
                <w:lang w:val="en-US" w:eastAsia="zh-CN" w:bidi="ar"/>
              </w:rPr>
              <w:t>金 额(元)</w:t>
            </w:r>
          </w:p>
        </w:tc>
      </w:tr>
      <w:tr>
        <w:tblPrEx>
          <w:tblCellMar>
            <w:top w:w="0" w:type="dxa"/>
            <w:left w:w="0" w:type="dxa"/>
            <w:bottom w:w="0" w:type="dxa"/>
            <w:right w:w="0" w:type="dxa"/>
          </w:tblCellMar>
        </w:tblPrEx>
        <w:trPr>
          <w:trHeight w:val="691"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黑体" w:hAnsi="宋体" w:eastAsia="黑体" w:cs="黑体"/>
                <w:b/>
                <w:i w:val="0"/>
                <w:color w:val="000000"/>
                <w:sz w:val="21"/>
                <w:szCs w:val="21"/>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黑体" w:hAnsi="宋体" w:eastAsia="黑体" w:cs="黑体"/>
                <w:b/>
                <w:i w:val="0"/>
                <w:color w:val="000000"/>
                <w:sz w:val="21"/>
                <w:szCs w:val="21"/>
                <w:u w:val="none"/>
              </w:rPr>
            </w:pPr>
          </w:p>
        </w:tc>
        <w:tc>
          <w:tcPr>
            <w:tcW w:w="496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黑体" w:hAnsi="宋体" w:eastAsia="黑体" w:cs="黑体"/>
                <w:b/>
                <w:i w:val="0"/>
                <w:color w:val="000000"/>
                <w:sz w:val="21"/>
                <w:szCs w:val="21"/>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黑体" w:hAnsi="宋体" w:eastAsia="黑体" w:cs="黑体"/>
                <w:b/>
                <w:i w:val="0"/>
                <w:color w:val="000000"/>
                <w:sz w:val="21"/>
                <w:szCs w:val="21"/>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黑体" w:hAnsi="宋体" w:eastAsia="黑体" w:cs="黑体"/>
                <w:b/>
                <w:i w:val="0"/>
                <w:color w:val="000000"/>
                <w:sz w:val="21"/>
                <w:szCs w:val="21"/>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1"/>
                <w:szCs w:val="21"/>
                <w:u w:val="none"/>
              </w:rPr>
            </w:pPr>
            <w:r>
              <w:rPr>
                <w:rFonts w:hint="eastAsia" w:ascii="黑体" w:hAnsi="宋体" w:eastAsia="黑体" w:cs="黑体"/>
                <w:b/>
                <w:i w:val="0"/>
                <w:color w:val="000000"/>
                <w:kern w:val="0"/>
                <w:sz w:val="21"/>
                <w:szCs w:val="21"/>
                <w:u w:val="none"/>
                <w:lang w:val="en-US" w:eastAsia="zh-CN" w:bidi="ar"/>
              </w:rPr>
              <w:t>全费用</w:t>
            </w:r>
            <w:r>
              <w:rPr>
                <w:rFonts w:hint="eastAsia" w:ascii="黑体" w:hAnsi="宋体" w:eastAsia="黑体" w:cs="黑体"/>
                <w:b/>
                <w:i w:val="0"/>
                <w:color w:val="000000"/>
                <w:kern w:val="0"/>
                <w:sz w:val="21"/>
                <w:szCs w:val="21"/>
                <w:u w:val="none"/>
                <w:lang w:val="en-US" w:eastAsia="zh-CN" w:bidi="ar"/>
              </w:rPr>
              <w:br w:type="textWrapping"/>
            </w:r>
            <w:r>
              <w:rPr>
                <w:rFonts w:hint="eastAsia" w:ascii="黑体" w:hAnsi="宋体" w:eastAsia="黑体" w:cs="黑体"/>
                <w:b/>
                <w:i w:val="0"/>
                <w:color w:val="000000"/>
                <w:kern w:val="0"/>
                <w:sz w:val="21"/>
                <w:szCs w:val="21"/>
                <w:u w:val="none"/>
                <w:lang w:val="en-US" w:eastAsia="zh-CN" w:bidi="ar"/>
              </w:rPr>
              <w:t>综合单价</w:t>
            </w:r>
          </w:p>
        </w:tc>
        <w:tc>
          <w:tcPr>
            <w:tcW w:w="10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1"/>
                <w:szCs w:val="21"/>
                <w:u w:val="none"/>
              </w:rPr>
            </w:pPr>
            <w:r>
              <w:rPr>
                <w:rFonts w:hint="eastAsia" w:ascii="黑体" w:hAnsi="宋体" w:eastAsia="黑体" w:cs="黑体"/>
                <w:b/>
                <w:i w:val="0"/>
                <w:color w:val="000000"/>
                <w:kern w:val="0"/>
                <w:sz w:val="21"/>
                <w:szCs w:val="21"/>
                <w:u w:val="none"/>
                <w:lang w:val="en-US" w:eastAsia="zh-CN" w:bidi="ar"/>
              </w:rPr>
              <w:t>综合合价</w:t>
            </w:r>
          </w:p>
        </w:tc>
      </w:tr>
      <w:tr>
        <w:tblPrEx>
          <w:shd w:val="clear" w:color="auto" w:fill="auto"/>
          <w:tblCellMar>
            <w:top w:w="0" w:type="dxa"/>
            <w:left w:w="0" w:type="dxa"/>
            <w:bottom w:w="0" w:type="dxa"/>
            <w:right w:w="0" w:type="dxa"/>
          </w:tblCellMar>
        </w:tblPrEx>
        <w:trPr>
          <w:trHeight w:val="35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拆除工程</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4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011605001001</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拆除、搬运工程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1、凡涉及本次施工范围内须拆除部位的全部工作内容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2、投标人自行勘察现场，根据现场实际情况结合设计图纸，综合考虑本项目涉及的所有拆除费用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3、原室内设备等按学校要求搬迁到指定地点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4、非拆除部分不允许损坏，并修复拆除损坏部分(含粉补侧边费用)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5、该综合单价中包含垃圾打扫、清理、上下运力及外运等费用，自行考虑残值回收。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6、该费用包干使用，结算时不调整。</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装饰工程</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1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010401012001</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零星砌砖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1、封堵门洞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2、M5混合砂浆、标准砖砖砌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3、具体详见图纸</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6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011201001001</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墙面一般抹灰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1、墙体类型:内墙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2、底层厚度、砂浆配合比:12mm 1:3水泥砂浆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3、面层厚度、砂浆配合比:8mm 1:2.5水泥砂浆</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8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011201001002</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外墙面装饰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1、封堵门洞部位外墙面装饰、与原走廊墙面一致</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9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011104004001</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防静电活动地板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1、找平层厚度、砂浆配合比:1:3水泥砂浆(找平层厚度投标人自行勘察现场充分考虑、结算时不调整)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2、面层材料种类:陶瓷防静电活动地板(600*600mm含可调支架系统)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3、防护材料种类:成品保护</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318.800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2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011103002001</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PVC地胶地面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1、地面自流平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2、PVC地胶地面、PVC厚度不低于1.6mm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3、含铝合金压条</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7.650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6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011102001001</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石材楼地面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1、20mm天然古堡灰大理石门槛</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2、30厚1:3干硬性水泥砂浆粘结层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3、1:3水泥砂浆找平层，投标人自行考虑厚度，结算时不调整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4、异形、开洞、磨边、倒角、抽槽、美缝、工厂加工等综合考虑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5、大理石品种、颜色等需经建设单位确认后方可实施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6、具体做法详见图纸</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011407002001</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天棚喷刷涂料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1、天棚喷黑处理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2、结算时工程量按水平投影面积计算，管线、梁侧边及墙侧边由投标人综合考虑在报价中</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3、施工过程中需对原室内设备成品保护</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456.000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7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011407001001</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墙面喷刷涂料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1、基层清理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2、墙面批腻子三遍、乳胶漆三遍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3、施工过程中需对原室内设备成品保护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4、乳胶漆颜色分格详见图纸，需经建设单位认可方可实施</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421.290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7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010809004001</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石材窗台板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1、专用石材粘接剂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2、20mm厚人造雅士白大理石窗台板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3、异形、开洞、磨边、倒角、抽槽、美缝、工厂加工等综合考虑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4、大理石品种、颜色等需经建设单位确认后方可实施</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7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010805005001</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钢化玻璃门(含固定扇)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1、镀锌钢骨架、1.0mm拉丝不锈钢覆面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2、12mm厚钢化玻璃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3、304系列不锈钢地弹簧、不锈钢拉手L=800mm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4、具体做法详见图纸</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27.140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3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011501006001</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书柜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1、做法：订制18厚E0级免漆生态板，包含柜门五金配件等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2、安装成功，具体的颜色、材质需满足甲方施工要求，含柜体、隔断、背板、五金等配件、柜体开孔洞费用综合考虑在报价中</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3、最终以柜体垂直投影面积计算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4、具体做法详见图纸</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21.120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011701003001</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1、该项包死、结算时不调整</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安装工程</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7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030404017001</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1、安装方式:原有电气、消防、其他安装设备按照现有设计拆除整改、防护封堵，凿补墙槽及墙洞，调试运行、投标人认为完成该项内容所增加项，施工必须满足验收，所增加一切费用综合考虑</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2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030404017002</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1、名称:配电箱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2、规格:AL01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3、备注:箱材质为不锈钢304型材，厚度大于1.2mm，具体详见设计</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3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030404017003</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1、名称:配电箱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2、规格:AL02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3、备注:箱材质为不锈钢304型材，厚度大于1.2mm，具体详见设计</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3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030404017004</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1、名称:配电箱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2、规格:AL03</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3、备注:箱材质为不锈钢304型材，厚度大于1.2mm，具体详见设计</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5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030411001001</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1、名称:电线管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2、规格:PVC25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3、配置形式:建设单位现场确定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4、备注:满足校方使用要求，符合验收规范的相关规定。</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818.880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4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030411001002</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1、名称:电线管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2、规格:PVC20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3、配置形式:建设单位现场确定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4、备注:满足校方使用要求，符合验收规范的相关规定。</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348.840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5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030411001003</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1、名称:电线管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2、规格:PVC16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3、配置形式:建设单位现场确定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4、备注:满足校方使用要求，符合验收规范的相关规定。</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105.180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2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030411004001</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1、名称:管内穿线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2、型号:BV-2.5mm2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4、配线部位:管内</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1722.900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2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030411004002</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1、名称:管内穿线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2、型号:BV-4mm2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4、配线部位:管内</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910.830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030502005001</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1、名称:六类网线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2、敷设方式:管内敷设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3、备注:含水晶头卡接、链路测试等</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2331.260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3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030411006001</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1、名称:接线盒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2、材质:塑料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3、规格:86型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4、安装形式:暗配</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154.000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030411006002</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1、名称:开关盒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2、材质:塑料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3、规格:86型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4、安装形式:暗配</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156.000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2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030411005001</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1、名称:接线箱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2、规格:符合规范要求，详见设计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3、安装形式:暗配</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5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030412004001</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装饰灯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1、名称:异形灯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2、规格:异形灯Y型605*275*65  32W，详见设计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3、备注:综合单价包含金属软管及配件、灯具安装。</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5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030412004002</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装饰灯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1、名称:一字型灯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2、规格:一字型灯780*275*65  32W，详见设计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3、备注:综合单价包含金属软管及配件、灯具安装。</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5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030412004003</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装饰灯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1、名称:一字型灯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2、规格:一字型灯1540*275*65  32W，详见设计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3、备注:综合单价包含金属软管及配件、灯具安装。</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4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030412004004</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装饰灯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1、名称:一字型灯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2、规格:一字型灯1559*250*65  32W，详见设计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3、备注:综合单价包含金属软管及配件、灯具安装。</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5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030412004005</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装饰灯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1、名称:一字型灯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2、规格:一字型灯780*250*65  32W，详见设计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3、备注:综合单价包含金属软管及配件、灯具安装。</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030404034001</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照明开关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1、名称:双控单联开关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2、规格:250V 10A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3、安装方式:暗装</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1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030404034002</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照明开关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1、名称:双联双控开关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2、规格:250V 10A</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3、安装方式:暗装</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1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030502012001</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信息插座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1、名称:网络插座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2、底盒材质、规格:配套暗装插座盒，含凿补墙洞。</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030404035001</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1、名称:安全型双联二三极暗装插座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2、规格:10A  250V</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030404035002</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1、名称:8位三孔插排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2、规格:根据设计，满足使用要求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3、安装方式:含引出接线盒的电缆线，接线盒盖板等</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0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030412004006</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装饰灯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1、名称:应急照明灯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2、规格:详见设计要求，满足使用及验收。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3、备注:电源引自消防原有应急照明回路，发生配管配线工程量详见单列清单项，综合单价包含金属软管及配件、灯具安装。</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2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010805001001</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门禁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1、门禁安装，包含门禁电源控制器、接线箱、磁力锁、室内出门开关及预埋盒、指纹机、配管配线、控制系统软件等</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樘</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030409002001</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接地装置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1、名称:静电地板、改造范围内接地装置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2、备注:含接地母线连接、接地体按设计要求配置，接地系统调试等。</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B001</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设计费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1、投标人投标时该费用不得让利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2、中标后支付给设计单位</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FF0000"/>
                <w:kern w:val="0"/>
                <w:sz w:val="20"/>
                <w:szCs w:val="20"/>
                <w:u w:val="none"/>
                <w:lang w:val="en-US" w:eastAsia="zh-CN" w:bidi="ar"/>
              </w:rPr>
              <w:t>11000.00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FF0000"/>
                <w:kern w:val="0"/>
                <w:sz w:val="20"/>
                <w:szCs w:val="20"/>
                <w:u w:val="none"/>
                <w:lang w:val="en-US" w:eastAsia="zh-CN" w:bidi="ar"/>
              </w:rPr>
              <w:t>11000.00</w:t>
            </w:r>
          </w:p>
        </w:tc>
      </w:tr>
      <w:tr>
        <w:tblPrEx>
          <w:shd w:val="clear" w:color="auto" w:fill="auto"/>
          <w:tblCellMar>
            <w:top w:w="0" w:type="dxa"/>
            <w:left w:w="0" w:type="dxa"/>
            <w:bottom w:w="0" w:type="dxa"/>
            <w:right w:w="0" w:type="dxa"/>
          </w:tblCellMar>
        </w:tblPrEx>
        <w:trPr>
          <w:trHeight w:val="14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B002</w:t>
            </w:r>
          </w:p>
        </w:tc>
        <w:tc>
          <w:tcPr>
            <w:tcW w:w="4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1、投标人投标时该费用不得让利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2、最终如有合同外工程发生，按实结算；如无合同外工程发生，该费用不计取</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FF0000"/>
                <w:kern w:val="0"/>
                <w:sz w:val="20"/>
                <w:szCs w:val="20"/>
                <w:u w:val="none"/>
                <w:lang w:val="en-US" w:eastAsia="zh-CN" w:bidi="ar"/>
              </w:rPr>
              <w:t>30000.00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FF0000"/>
                <w:kern w:val="0"/>
                <w:sz w:val="20"/>
                <w:szCs w:val="20"/>
                <w:u w:val="none"/>
                <w:lang w:val="en-US" w:eastAsia="zh-CN" w:bidi="ar"/>
              </w:rPr>
              <w:t>30000.00</w:t>
            </w:r>
          </w:p>
        </w:tc>
      </w:tr>
      <w:tr>
        <w:tblPrEx>
          <w:tblCellMar>
            <w:top w:w="0" w:type="dxa"/>
            <w:left w:w="0" w:type="dxa"/>
            <w:bottom w:w="0" w:type="dxa"/>
            <w:right w:w="0" w:type="dxa"/>
          </w:tblCellMar>
        </w:tblPrEx>
        <w:trPr>
          <w:trHeight w:val="6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计（元）</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3180" w:hRule="atLeast"/>
        </w:trPr>
        <w:tc>
          <w:tcPr>
            <w:tcW w:w="1083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r>
              <w:rPr>
                <w:rFonts w:ascii="Arial" w:hAnsi="Arial" w:eastAsia="宋体" w:cs="Arial"/>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全费用综合单价包括了招标范围内的所有内容交付使用前的全部费用，综合单价包括采购费（含辅材）及损耗、人工、机械、材料、运输、装卸、现场保管、安装调试费、管理费、利润、规费、税金、所有措施费、矛盾协调、总承包服务费、机械进退场、赶工措施费等一切相关的所有费用；投标人自行现场勘察，确保本项目满足设计及规范要求，上述清单中如有描述不全的，投标人报价时需充分考虑入上述全费用单价中，中标后竣工结算时全费用单价不予调整，各投标人要充分考虑，结算时数量按实结算。</w:t>
            </w:r>
            <w:r>
              <w:rPr>
                <w:rFonts w:ascii="Arial" w:hAnsi="Arial" w:eastAsia="宋体" w:cs="Arial"/>
                <w:i w:val="0"/>
                <w:color w:val="000000"/>
                <w:kern w:val="0"/>
                <w:sz w:val="20"/>
                <w:szCs w:val="20"/>
                <w:u w:val="none"/>
                <w:lang w:val="en-US" w:eastAsia="zh-CN" w:bidi="ar"/>
              </w:rPr>
              <w:br w:type="textWrapping"/>
            </w:r>
            <w:r>
              <w:rPr>
                <w:rFonts w:ascii="Arial" w:hAnsi="Arial" w:eastAsia="宋体" w:cs="Arial"/>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各投标人在投标前必须对施工现场进行详细踏勘，如有疑问及时向招标人提出，否则由此引起的一切风险均由投标人自行承担。每项清单必须报全费用单价，如有一项漏报，视同该项为让利免费提供。为完成本项目而必须发生的、但清单中未列明的相关费用也由各投标人自行综合考虑分摊含进投标报价中，结算时不再另增任何费用。</w:t>
            </w:r>
            <w:r>
              <w:rPr>
                <w:rFonts w:ascii="Arial" w:hAnsi="Arial" w:eastAsia="宋体" w:cs="Arial"/>
                <w:i w:val="0"/>
                <w:color w:val="000000"/>
                <w:kern w:val="0"/>
                <w:sz w:val="20"/>
                <w:szCs w:val="20"/>
                <w:u w:val="none"/>
                <w:lang w:val="en-US" w:eastAsia="zh-CN" w:bidi="ar"/>
              </w:rPr>
              <w:br w:type="textWrapping"/>
            </w:r>
            <w:r>
              <w:rPr>
                <w:rFonts w:ascii="Arial" w:hAnsi="Arial" w:eastAsia="宋体" w:cs="Arial"/>
                <w:i w:val="0"/>
                <w:color w:val="000000"/>
                <w:kern w:val="0"/>
                <w:sz w:val="20"/>
                <w:szCs w:val="20"/>
                <w:u w:val="none"/>
                <w:lang w:val="en-US" w:eastAsia="zh-CN" w:bidi="ar"/>
              </w:rPr>
              <w:t>3</w:t>
            </w:r>
            <w:r>
              <w:rPr>
                <w:rFonts w:hint="eastAsia" w:ascii="宋体" w:hAnsi="宋体" w:eastAsia="宋体" w:cs="宋体"/>
                <w:i w:val="0"/>
                <w:color w:val="000000"/>
                <w:kern w:val="0"/>
                <w:sz w:val="20"/>
                <w:szCs w:val="20"/>
                <w:u w:val="none"/>
                <w:lang w:val="en-US" w:eastAsia="zh-CN" w:bidi="ar"/>
              </w:rPr>
              <w:t>、工程竣工验收前，中标人必须将工程施工所产生的垃圾及时清运出校园。</w:t>
            </w:r>
            <w:r>
              <w:rPr>
                <w:rFonts w:ascii="Arial" w:hAnsi="Arial" w:eastAsia="宋体" w:cs="Arial"/>
                <w:i w:val="0"/>
                <w:color w:val="000000"/>
                <w:kern w:val="0"/>
                <w:sz w:val="20"/>
                <w:szCs w:val="20"/>
                <w:u w:val="none"/>
                <w:lang w:val="en-US" w:eastAsia="zh-CN" w:bidi="ar"/>
              </w:rPr>
              <w:br w:type="textWrapping"/>
            </w:r>
            <w:r>
              <w:rPr>
                <w:rFonts w:ascii="Arial" w:hAnsi="Arial" w:eastAsia="宋体" w:cs="Arial"/>
                <w:i w:val="0"/>
                <w:color w:val="000000"/>
                <w:kern w:val="0"/>
                <w:sz w:val="20"/>
                <w:szCs w:val="20"/>
                <w:u w:val="none"/>
                <w:lang w:val="en-US" w:eastAsia="zh-CN" w:bidi="ar"/>
              </w:rPr>
              <w:t>4</w:t>
            </w:r>
            <w:r>
              <w:rPr>
                <w:rFonts w:hint="eastAsia" w:ascii="宋体" w:hAnsi="宋体" w:eastAsia="宋体" w:cs="宋体"/>
                <w:i w:val="0"/>
                <w:color w:val="000000"/>
                <w:kern w:val="0"/>
                <w:sz w:val="20"/>
                <w:szCs w:val="20"/>
                <w:u w:val="none"/>
                <w:lang w:val="en-US" w:eastAsia="zh-CN" w:bidi="ar"/>
              </w:rPr>
              <w:t>、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tc>
      </w:tr>
    </w:tbl>
    <w:p>
      <w:pPr>
        <w:pStyle w:val="2"/>
        <w:ind w:left="0" w:leftChars="0" w:firstLine="0" w:firstLineChars="0"/>
        <w:rPr>
          <w:color w:val="auto"/>
          <w:highlight w:val="none"/>
        </w:rPr>
      </w:pPr>
    </w:p>
    <w:p>
      <w:pPr>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投标人全称（加盖公章）：               </w:t>
      </w:r>
    </w:p>
    <w:p>
      <w:pPr>
        <w:jc w:val="left"/>
        <w:rPr>
          <w:rFonts w:hint="eastAsia" w:ascii="楷体" w:hAnsi="楷体" w:eastAsia="楷体" w:cs="楷体"/>
          <w:color w:val="auto"/>
          <w:sz w:val="24"/>
          <w:highlight w:val="none"/>
        </w:rPr>
      </w:pPr>
    </w:p>
    <w:p>
      <w:pPr>
        <w:jc w:val="left"/>
        <w:rPr>
          <w:rFonts w:ascii="楷体" w:hAnsi="楷体" w:eastAsia="楷体" w:cs="楷体"/>
          <w:color w:val="auto"/>
          <w:sz w:val="24"/>
          <w:highlight w:val="none"/>
        </w:rPr>
      </w:pPr>
      <w:r>
        <w:rPr>
          <w:rFonts w:hint="eastAsia" w:ascii="楷体" w:hAnsi="楷体" w:eastAsia="楷体" w:cs="楷体"/>
          <w:color w:val="auto"/>
          <w:sz w:val="24"/>
          <w:highlight w:val="none"/>
        </w:rPr>
        <w:t>法定代表人或授权代表（签字）</w:t>
      </w:r>
    </w:p>
    <w:p>
      <w:pPr>
        <w:spacing w:line="360" w:lineRule="auto"/>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                                                     </w:t>
      </w:r>
    </w:p>
    <w:p>
      <w:pPr>
        <w:spacing w:line="360" w:lineRule="auto"/>
        <w:jc w:val="left"/>
        <w:rPr>
          <w:rFonts w:hint="eastAsia" w:ascii="楷体" w:hAnsi="楷体" w:eastAsia="楷体" w:cs="楷体"/>
          <w:color w:val="auto"/>
          <w:sz w:val="24"/>
          <w:highlight w:val="none"/>
        </w:rPr>
      </w:pPr>
      <w:r>
        <w:rPr>
          <w:rFonts w:hint="eastAsia" w:ascii="楷体" w:hAnsi="楷体" w:eastAsia="楷体" w:cs="楷体"/>
          <w:color w:val="auto"/>
          <w:sz w:val="24"/>
          <w:highlight w:val="none"/>
        </w:rPr>
        <w:t>年     月     日</w:t>
      </w:r>
    </w:p>
    <w:p>
      <w:pPr>
        <w:pStyle w:val="2"/>
        <w:rPr>
          <w:rFonts w:hint="eastAsia" w:ascii="楷体" w:hAnsi="楷体" w:eastAsia="楷体" w:cs="楷体"/>
          <w:color w:val="auto"/>
          <w:sz w:val="24"/>
          <w:highlight w:val="none"/>
        </w:rPr>
      </w:pPr>
    </w:p>
    <w:p>
      <w:pPr>
        <w:pStyle w:val="2"/>
        <w:rPr>
          <w:rFonts w:hint="eastAsia" w:ascii="楷体" w:hAnsi="楷体" w:eastAsia="楷体" w:cs="楷体"/>
          <w:color w:val="auto"/>
          <w:sz w:val="24"/>
          <w:highlight w:val="none"/>
        </w:rPr>
      </w:pPr>
    </w:p>
    <w:p>
      <w:pPr>
        <w:pStyle w:val="2"/>
        <w:ind w:firstLine="2640" w:firstLineChars="1100"/>
        <w:rPr>
          <w:rFonts w:hint="eastAsia" w:ascii="楷体" w:hAnsi="楷体" w:eastAsia="楷体" w:cs="楷体"/>
          <w:color w:val="auto"/>
          <w:sz w:val="24"/>
          <w:highlight w:val="none"/>
        </w:rPr>
      </w:pPr>
      <w:r>
        <w:rPr>
          <w:rFonts w:hint="eastAsia" w:ascii="楷体" w:hAnsi="楷体" w:eastAsia="楷体" w:cs="楷体"/>
          <w:color w:val="auto"/>
          <w:sz w:val="24"/>
          <w:highlight w:val="none"/>
        </w:rPr>
        <w:t>主要材料推荐品牌一览表</w:t>
      </w:r>
    </w:p>
    <w:tbl>
      <w:tblPr>
        <w:tblStyle w:val="18"/>
        <w:tblW w:w="8610" w:type="dxa"/>
        <w:tblInd w:w="0" w:type="dxa"/>
        <w:shd w:val="clear" w:color="auto" w:fill="auto"/>
        <w:tblLayout w:type="autofit"/>
        <w:tblCellMar>
          <w:top w:w="0" w:type="dxa"/>
          <w:left w:w="0" w:type="dxa"/>
          <w:bottom w:w="0" w:type="dxa"/>
          <w:right w:w="0" w:type="dxa"/>
        </w:tblCellMar>
      </w:tblPr>
      <w:tblGrid>
        <w:gridCol w:w="555"/>
        <w:gridCol w:w="2354"/>
        <w:gridCol w:w="750"/>
        <w:gridCol w:w="2414"/>
        <w:gridCol w:w="2537"/>
      </w:tblGrid>
      <w:tr>
        <w:tblPrEx>
          <w:shd w:val="clear" w:color="auto" w:fill="auto"/>
        </w:tblPrEx>
        <w:trPr>
          <w:trHeight w:val="46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序号</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材料种类及名称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参考品牌</w:t>
            </w: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规格要求及安装位置</w:t>
            </w:r>
          </w:p>
        </w:tc>
      </w:tr>
      <w:tr>
        <w:tblPrEx>
          <w:tblCellMar>
            <w:top w:w="0" w:type="dxa"/>
            <w:left w:w="0" w:type="dxa"/>
            <w:bottom w:w="0" w:type="dxa"/>
            <w:right w:w="0" w:type="dxa"/>
          </w:tblCellMar>
        </w:tblPrEx>
        <w:trPr>
          <w:trHeight w:val="46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陶瓷防静电活动地板600*600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平方</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沈飞，汇洁，鑫亚豪</w:t>
            </w: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依据图纸</w:t>
            </w:r>
          </w:p>
        </w:tc>
      </w:tr>
      <w:tr>
        <w:tblPrEx>
          <w:tblCellMar>
            <w:top w:w="0" w:type="dxa"/>
            <w:left w:w="0" w:type="dxa"/>
            <w:bottom w:w="0" w:type="dxa"/>
            <w:right w:w="0" w:type="dxa"/>
          </w:tblCellMar>
        </w:tblPrEx>
        <w:trPr>
          <w:trHeight w:val="46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乳胶漆(环保E0级)</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桶</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三棵树、立邦、多乐士</w:t>
            </w: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依据图纸</w:t>
            </w:r>
          </w:p>
        </w:tc>
      </w:tr>
      <w:tr>
        <w:tblPrEx>
          <w:tblCellMar>
            <w:top w:w="0" w:type="dxa"/>
            <w:left w:w="0" w:type="dxa"/>
            <w:bottom w:w="0" w:type="dxa"/>
            <w:right w:w="0" w:type="dxa"/>
          </w:tblCellMar>
        </w:tblPrEx>
        <w:trPr>
          <w:trHeight w:val="46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E0级免漆生态板</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平方</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兔宝宝、千年舟、莫干山</w:t>
            </w: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18mm 依据图纸</w:t>
            </w:r>
          </w:p>
        </w:tc>
      </w:tr>
      <w:tr>
        <w:tblPrEx>
          <w:tblCellMar>
            <w:top w:w="0" w:type="dxa"/>
            <w:left w:w="0" w:type="dxa"/>
            <w:bottom w:w="0" w:type="dxa"/>
            <w:right w:w="0" w:type="dxa"/>
          </w:tblCellMar>
        </w:tblPrEx>
        <w:trPr>
          <w:trHeight w:val="46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LED灯具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盏</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欧普、飞利浦、雷士</w:t>
            </w: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600*600mm 依据图纸</w:t>
            </w:r>
          </w:p>
        </w:tc>
      </w:tr>
      <w:tr>
        <w:tblPrEx>
          <w:shd w:val="clear" w:color="auto" w:fill="auto"/>
          <w:tblCellMar>
            <w:top w:w="0" w:type="dxa"/>
            <w:left w:w="0" w:type="dxa"/>
            <w:bottom w:w="0" w:type="dxa"/>
            <w:right w:w="0" w:type="dxa"/>
          </w:tblCellMar>
        </w:tblPrEx>
        <w:trPr>
          <w:trHeight w:val="46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开关、插座</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只</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正泰、德力西、西门子</w:t>
            </w: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依据图纸</w:t>
            </w:r>
          </w:p>
        </w:tc>
      </w:tr>
      <w:tr>
        <w:tblPrEx>
          <w:shd w:val="clear" w:color="auto" w:fill="auto"/>
          <w:tblCellMar>
            <w:top w:w="0" w:type="dxa"/>
            <w:left w:w="0" w:type="dxa"/>
            <w:bottom w:w="0" w:type="dxa"/>
            <w:right w:w="0" w:type="dxa"/>
          </w:tblCellMar>
        </w:tblPrEx>
        <w:trPr>
          <w:trHeight w:val="46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电线、电缆</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米</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江南、远东、上上</w:t>
            </w: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国标 依据图纸</w:t>
            </w:r>
          </w:p>
        </w:tc>
      </w:tr>
      <w:tr>
        <w:tblPrEx>
          <w:shd w:val="clear" w:color="auto" w:fill="auto"/>
          <w:tblCellMar>
            <w:top w:w="0" w:type="dxa"/>
            <w:left w:w="0" w:type="dxa"/>
            <w:bottom w:w="0" w:type="dxa"/>
            <w:right w:w="0" w:type="dxa"/>
          </w:tblCellMar>
        </w:tblPrEx>
        <w:trPr>
          <w:trHeight w:val="46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配电箱</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只</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正泰、德力西、西门子</w:t>
            </w: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按甲方要求定制</w:t>
            </w:r>
          </w:p>
        </w:tc>
      </w:tr>
    </w:tbl>
    <w:p>
      <w:pPr>
        <w:pStyle w:val="2"/>
        <w:rPr>
          <w:rFonts w:hint="eastAsia" w:ascii="楷体" w:hAnsi="楷体" w:eastAsia="楷体" w:cs="楷体"/>
          <w:color w:val="auto"/>
          <w:sz w:val="24"/>
          <w:highlight w:val="none"/>
        </w:rPr>
      </w:pPr>
    </w:p>
    <w:p>
      <w:pPr>
        <w:pStyle w:val="2"/>
        <w:ind w:left="0" w:leftChars="0" w:firstLine="0" w:firstLineChars="0"/>
        <w:rPr>
          <w:rFonts w:hint="eastAsia" w:ascii="楷体" w:hAnsi="楷体" w:eastAsia="楷体" w:cs="楷体"/>
          <w:color w:val="auto"/>
          <w:sz w:val="24"/>
          <w:highlight w:val="none"/>
        </w:rPr>
      </w:pPr>
    </w:p>
    <w:p/>
    <w:sectPr>
      <w:pgSz w:w="11906" w:h="16838"/>
      <w:pgMar w:top="1701" w:right="1418"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0"/>
      </w:pBdr>
    </w:pPr>
    <w:r>
      <w:rPr>
        <w:rFonts w:hint="eastAsia" w:eastAsia="隶书"/>
        <w:color w:val="000000"/>
        <w:spacing w:val="40"/>
        <w:sz w:val="21"/>
        <w:szCs w:val="21"/>
      </w:rPr>
      <w:t>2020-</w:t>
    </w:r>
    <w:r>
      <w:rPr>
        <w:rFonts w:hint="eastAsia" w:eastAsia="隶书"/>
        <w:color w:val="000000"/>
        <w:spacing w:val="40"/>
        <w:sz w:val="21"/>
        <w:szCs w:val="21"/>
        <w:lang w:val="en-US" w:eastAsia="zh-CN"/>
      </w:rPr>
      <w:t>061</w:t>
    </w:r>
    <w:r>
      <w:rPr>
        <w:rFonts w:hint="eastAsia" w:eastAsia="隶书"/>
        <w:color w:val="000000"/>
        <w:spacing w:val="40"/>
        <w:sz w:val="21"/>
        <w:szCs w:val="21"/>
      </w:rPr>
      <w:t>S</w:t>
    </w:r>
    <w:r>
      <w:rPr>
        <w:rFonts w:eastAsia="隶书"/>
        <w:color w:val="000000"/>
        <w:spacing w:val="40"/>
        <w:sz w:val="21"/>
        <w:szCs w:val="21"/>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5087D"/>
    <w:rsid w:val="0000757E"/>
    <w:rsid w:val="0001164C"/>
    <w:rsid w:val="00011AE2"/>
    <w:rsid w:val="00013E51"/>
    <w:rsid w:val="000153D1"/>
    <w:rsid w:val="0002247A"/>
    <w:rsid w:val="0002673F"/>
    <w:rsid w:val="000318DC"/>
    <w:rsid w:val="00031EAE"/>
    <w:rsid w:val="000376BA"/>
    <w:rsid w:val="0003797F"/>
    <w:rsid w:val="00044B92"/>
    <w:rsid w:val="000461E2"/>
    <w:rsid w:val="00047565"/>
    <w:rsid w:val="000500FB"/>
    <w:rsid w:val="00050C8A"/>
    <w:rsid w:val="000513D7"/>
    <w:rsid w:val="00052B02"/>
    <w:rsid w:val="00054067"/>
    <w:rsid w:val="00061576"/>
    <w:rsid w:val="0006674D"/>
    <w:rsid w:val="000675E0"/>
    <w:rsid w:val="000737B2"/>
    <w:rsid w:val="000738A3"/>
    <w:rsid w:val="00074832"/>
    <w:rsid w:val="000804DE"/>
    <w:rsid w:val="00080B8A"/>
    <w:rsid w:val="00080C74"/>
    <w:rsid w:val="00083C67"/>
    <w:rsid w:val="00085F8D"/>
    <w:rsid w:val="0008794F"/>
    <w:rsid w:val="000918C7"/>
    <w:rsid w:val="000919B1"/>
    <w:rsid w:val="00091F28"/>
    <w:rsid w:val="00092A1C"/>
    <w:rsid w:val="00092D89"/>
    <w:rsid w:val="000A1CCD"/>
    <w:rsid w:val="000A4844"/>
    <w:rsid w:val="000A6CF6"/>
    <w:rsid w:val="000A7B5C"/>
    <w:rsid w:val="000B0EE1"/>
    <w:rsid w:val="000B4700"/>
    <w:rsid w:val="000B52EC"/>
    <w:rsid w:val="000B55DE"/>
    <w:rsid w:val="000B6527"/>
    <w:rsid w:val="000B726D"/>
    <w:rsid w:val="000C00DA"/>
    <w:rsid w:val="000C0EDC"/>
    <w:rsid w:val="000C0F75"/>
    <w:rsid w:val="000C3A0B"/>
    <w:rsid w:val="000C7607"/>
    <w:rsid w:val="000D14E7"/>
    <w:rsid w:val="000D1A2C"/>
    <w:rsid w:val="000D1CBD"/>
    <w:rsid w:val="000D41B8"/>
    <w:rsid w:val="000D4424"/>
    <w:rsid w:val="000E7051"/>
    <w:rsid w:val="000F03B8"/>
    <w:rsid w:val="000F3684"/>
    <w:rsid w:val="000F5044"/>
    <w:rsid w:val="001050DA"/>
    <w:rsid w:val="00105FDE"/>
    <w:rsid w:val="001135E1"/>
    <w:rsid w:val="00113950"/>
    <w:rsid w:val="00114568"/>
    <w:rsid w:val="00122C5E"/>
    <w:rsid w:val="001319D8"/>
    <w:rsid w:val="00131AC1"/>
    <w:rsid w:val="00132713"/>
    <w:rsid w:val="00133497"/>
    <w:rsid w:val="0014051D"/>
    <w:rsid w:val="001407DC"/>
    <w:rsid w:val="00142AA3"/>
    <w:rsid w:val="001434AA"/>
    <w:rsid w:val="00144D54"/>
    <w:rsid w:val="0014684E"/>
    <w:rsid w:val="001505DC"/>
    <w:rsid w:val="00153DBB"/>
    <w:rsid w:val="0015495A"/>
    <w:rsid w:val="00154E48"/>
    <w:rsid w:val="001550FC"/>
    <w:rsid w:val="00157A8D"/>
    <w:rsid w:val="00161C33"/>
    <w:rsid w:val="00165312"/>
    <w:rsid w:val="00165C49"/>
    <w:rsid w:val="001661BD"/>
    <w:rsid w:val="0017083D"/>
    <w:rsid w:val="0017134C"/>
    <w:rsid w:val="001725D1"/>
    <w:rsid w:val="001810C4"/>
    <w:rsid w:val="00181C4C"/>
    <w:rsid w:val="0018483C"/>
    <w:rsid w:val="00185854"/>
    <w:rsid w:val="001873B0"/>
    <w:rsid w:val="00187E68"/>
    <w:rsid w:val="001915AE"/>
    <w:rsid w:val="001925D8"/>
    <w:rsid w:val="00195827"/>
    <w:rsid w:val="001A01B1"/>
    <w:rsid w:val="001A1B05"/>
    <w:rsid w:val="001A31F3"/>
    <w:rsid w:val="001A6958"/>
    <w:rsid w:val="001A6D0C"/>
    <w:rsid w:val="001B139E"/>
    <w:rsid w:val="001B32B5"/>
    <w:rsid w:val="001C048B"/>
    <w:rsid w:val="001C34C5"/>
    <w:rsid w:val="001C41C8"/>
    <w:rsid w:val="001C528F"/>
    <w:rsid w:val="001C7CA7"/>
    <w:rsid w:val="001D057D"/>
    <w:rsid w:val="001D1CAC"/>
    <w:rsid w:val="001D246C"/>
    <w:rsid w:val="001D7082"/>
    <w:rsid w:val="001E2EE7"/>
    <w:rsid w:val="001E327E"/>
    <w:rsid w:val="001E66E7"/>
    <w:rsid w:val="001E72EF"/>
    <w:rsid w:val="001F0F75"/>
    <w:rsid w:val="001F57B5"/>
    <w:rsid w:val="001F67DC"/>
    <w:rsid w:val="0020223D"/>
    <w:rsid w:val="00204EFF"/>
    <w:rsid w:val="002154D0"/>
    <w:rsid w:val="00217EBA"/>
    <w:rsid w:val="00217F79"/>
    <w:rsid w:val="00224A89"/>
    <w:rsid w:val="00226851"/>
    <w:rsid w:val="002278A4"/>
    <w:rsid w:val="00231F9D"/>
    <w:rsid w:val="00232888"/>
    <w:rsid w:val="00242CC1"/>
    <w:rsid w:val="00250A52"/>
    <w:rsid w:val="00250C94"/>
    <w:rsid w:val="002512AD"/>
    <w:rsid w:val="002555C3"/>
    <w:rsid w:val="00255D7A"/>
    <w:rsid w:val="0025705C"/>
    <w:rsid w:val="002628E6"/>
    <w:rsid w:val="00262F96"/>
    <w:rsid w:val="00264FC2"/>
    <w:rsid w:val="002653AA"/>
    <w:rsid w:val="002666F2"/>
    <w:rsid w:val="00266834"/>
    <w:rsid w:val="00267E3C"/>
    <w:rsid w:val="002821D7"/>
    <w:rsid w:val="00282F6F"/>
    <w:rsid w:val="002843DB"/>
    <w:rsid w:val="00285806"/>
    <w:rsid w:val="00285ABF"/>
    <w:rsid w:val="002868D1"/>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36ED"/>
    <w:rsid w:val="003062FC"/>
    <w:rsid w:val="00314BA6"/>
    <w:rsid w:val="003208EC"/>
    <w:rsid w:val="003226E4"/>
    <w:rsid w:val="00324DCE"/>
    <w:rsid w:val="00330BF0"/>
    <w:rsid w:val="00331EE9"/>
    <w:rsid w:val="003340DF"/>
    <w:rsid w:val="003431B7"/>
    <w:rsid w:val="0034434B"/>
    <w:rsid w:val="003446D1"/>
    <w:rsid w:val="00344ACC"/>
    <w:rsid w:val="00346867"/>
    <w:rsid w:val="00346C72"/>
    <w:rsid w:val="00351FC9"/>
    <w:rsid w:val="00353AF1"/>
    <w:rsid w:val="00353F05"/>
    <w:rsid w:val="00354A4A"/>
    <w:rsid w:val="00355A6B"/>
    <w:rsid w:val="003613A1"/>
    <w:rsid w:val="003618BC"/>
    <w:rsid w:val="00363057"/>
    <w:rsid w:val="00363C5B"/>
    <w:rsid w:val="003652D9"/>
    <w:rsid w:val="0036698E"/>
    <w:rsid w:val="003714F3"/>
    <w:rsid w:val="00372EA1"/>
    <w:rsid w:val="00380B48"/>
    <w:rsid w:val="003815FD"/>
    <w:rsid w:val="00382705"/>
    <w:rsid w:val="00385C64"/>
    <w:rsid w:val="003874D6"/>
    <w:rsid w:val="003977BF"/>
    <w:rsid w:val="003A21A0"/>
    <w:rsid w:val="003A345E"/>
    <w:rsid w:val="003A63FC"/>
    <w:rsid w:val="003A6792"/>
    <w:rsid w:val="003B0FB9"/>
    <w:rsid w:val="003B212E"/>
    <w:rsid w:val="003B7BD1"/>
    <w:rsid w:val="003C0153"/>
    <w:rsid w:val="003C40B0"/>
    <w:rsid w:val="003C47FA"/>
    <w:rsid w:val="003C4C91"/>
    <w:rsid w:val="003D0885"/>
    <w:rsid w:val="003D210A"/>
    <w:rsid w:val="003D22AC"/>
    <w:rsid w:val="003D687B"/>
    <w:rsid w:val="003E0F99"/>
    <w:rsid w:val="003E26F6"/>
    <w:rsid w:val="003E2B82"/>
    <w:rsid w:val="003E5E3A"/>
    <w:rsid w:val="003E6FBF"/>
    <w:rsid w:val="003F50C5"/>
    <w:rsid w:val="003F6B2A"/>
    <w:rsid w:val="00402716"/>
    <w:rsid w:val="0040479B"/>
    <w:rsid w:val="00407A9B"/>
    <w:rsid w:val="00413018"/>
    <w:rsid w:val="00415905"/>
    <w:rsid w:val="0042209E"/>
    <w:rsid w:val="00425678"/>
    <w:rsid w:val="00430024"/>
    <w:rsid w:val="00430B4E"/>
    <w:rsid w:val="0043131B"/>
    <w:rsid w:val="004317E3"/>
    <w:rsid w:val="00432A5A"/>
    <w:rsid w:val="0044201E"/>
    <w:rsid w:val="00445171"/>
    <w:rsid w:val="00445196"/>
    <w:rsid w:val="004472D0"/>
    <w:rsid w:val="00451DA0"/>
    <w:rsid w:val="004558AA"/>
    <w:rsid w:val="00461F62"/>
    <w:rsid w:val="004643FC"/>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0B4C"/>
    <w:rsid w:val="004A2405"/>
    <w:rsid w:val="004A3E2E"/>
    <w:rsid w:val="004A50D9"/>
    <w:rsid w:val="004B0390"/>
    <w:rsid w:val="004B16D2"/>
    <w:rsid w:val="004B52AD"/>
    <w:rsid w:val="004C5C6D"/>
    <w:rsid w:val="004C7035"/>
    <w:rsid w:val="004D2A12"/>
    <w:rsid w:val="004D608D"/>
    <w:rsid w:val="004E5477"/>
    <w:rsid w:val="004E62A5"/>
    <w:rsid w:val="004F4733"/>
    <w:rsid w:val="004F6AB1"/>
    <w:rsid w:val="0050204E"/>
    <w:rsid w:val="00504B8E"/>
    <w:rsid w:val="00507821"/>
    <w:rsid w:val="00514D32"/>
    <w:rsid w:val="0052086C"/>
    <w:rsid w:val="005217B5"/>
    <w:rsid w:val="005240E4"/>
    <w:rsid w:val="005279FF"/>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6CCE"/>
    <w:rsid w:val="005973C4"/>
    <w:rsid w:val="005A070B"/>
    <w:rsid w:val="005A087C"/>
    <w:rsid w:val="005A121D"/>
    <w:rsid w:val="005A2EBD"/>
    <w:rsid w:val="005A3B6F"/>
    <w:rsid w:val="005A50C1"/>
    <w:rsid w:val="005B0716"/>
    <w:rsid w:val="005B2BD4"/>
    <w:rsid w:val="005C4DF1"/>
    <w:rsid w:val="005D0FD9"/>
    <w:rsid w:val="005D1684"/>
    <w:rsid w:val="005D21D9"/>
    <w:rsid w:val="005E1ECD"/>
    <w:rsid w:val="005F391B"/>
    <w:rsid w:val="005F7330"/>
    <w:rsid w:val="0060483D"/>
    <w:rsid w:val="00611747"/>
    <w:rsid w:val="00613767"/>
    <w:rsid w:val="00614633"/>
    <w:rsid w:val="006146A4"/>
    <w:rsid w:val="00615CC8"/>
    <w:rsid w:val="0061692E"/>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6896"/>
    <w:rsid w:val="00696E80"/>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D6C96"/>
    <w:rsid w:val="006E38B4"/>
    <w:rsid w:val="006F055F"/>
    <w:rsid w:val="006F1BED"/>
    <w:rsid w:val="006F3B96"/>
    <w:rsid w:val="006F6673"/>
    <w:rsid w:val="00701270"/>
    <w:rsid w:val="00704CF8"/>
    <w:rsid w:val="007104D3"/>
    <w:rsid w:val="0071468C"/>
    <w:rsid w:val="00720465"/>
    <w:rsid w:val="0072557F"/>
    <w:rsid w:val="00726FB5"/>
    <w:rsid w:val="00731481"/>
    <w:rsid w:val="007371A7"/>
    <w:rsid w:val="007376A4"/>
    <w:rsid w:val="00737E12"/>
    <w:rsid w:val="00740799"/>
    <w:rsid w:val="00740E3D"/>
    <w:rsid w:val="00740E87"/>
    <w:rsid w:val="00742866"/>
    <w:rsid w:val="00750C93"/>
    <w:rsid w:val="00753C19"/>
    <w:rsid w:val="00755535"/>
    <w:rsid w:val="00756DC7"/>
    <w:rsid w:val="007601F3"/>
    <w:rsid w:val="007656DA"/>
    <w:rsid w:val="00765A4B"/>
    <w:rsid w:val="00766765"/>
    <w:rsid w:val="007670A4"/>
    <w:rsid w:val="00771791"/>
    <w:rsid w:val="007768FC"/>
    <w:rsid w:val="007776D6"/>
    <w:rsid w:val="00782B44"/>
    <w:rsid w:val="00782FDB"/>
    <w:rsid w:val="007925D3"/>
    <w:rsid w:val="00792A7B"/>
    <w:rsid w:val="007937D8"/>
    <w:rsid w:val="007A33B5"/>
    <w:rsid w:val="007A6D2D"/>
    <w:rsid w:val="007B74DA"/>
    <w:rsid w:val="007C017E"/>
    <w:rsid w:val="007C0E98"/>
    <w:rsid w:val="007C187F"/>
    <w:rsid w:val="007C3C7D"/>
    <w:rsid w:val="007C41C6"/>
    <w:rsid w:val="007C5574"/>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0D4D"/>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4BA7"/>
    <w:rsid w:val="00845215"/>
    <w:rsid w:val="00845DB7"/>
    <w:rsid w:val="008461D5"/>
    <w:rsid w:val="00847D06"/>
    <w:rsid w:val="00850FDF"/>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69FD"/>
    <w:rsid w:val="008A7511"/>
    <w:rsid w:val="008B269D"/>
    <w:rsid w:val="008B4273"/>
    <w:rsid w:val="008B6463"/>
    <w:rsid w:val="008B7F66"/>
    <w:rsid w:val="008C0245"/>
    <w:rsid w:val="008D181C"/>
    <w:rsid w:val="008D26CC"/>
    <w:rsid w:val="008D3727"/>
    <w:rsid w:val="008D47BF"/>
    <w:rsid w:val="008D4DF3"/>
    <w:rsid w:val="008D6F67"/>
    <w:rsid w:val="008E16BB"/>
    <w:rsid w:val="008E3334"/>
    <w:rsid w:val="008E3AC9"/>
    <w:rsid w:val="008E55A1"/>
    <w:rsid w:val="008F48EB"/>
    <w:rsid w:val="009014B0"/>
    <w:rsid w:val="00904244"/>
    <w:rsid w:val="00904A8D"/>
    <w:rsid w:val="00905259"/>
    <w:rsid w:val="00917FED"/>
    <w:rsid w:val="00920C8E"/>
    <w:rsid w:val="009220F8"/>
    <w:rsid w:val="0092282D"/>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919"/>
    <w:rsid w:val="00960D05"/>
    <w:rsid w:val="009652B0"/>
    <w:rsid w:val="009664F6"/>
    <w:rsid w:val="00967C66"/>
    <w:rsid w:val="0097088C"/>
    <w:rsid w:val="0097527C"/>
    <w:rsid w:val="00977C5D"/>
    <w:rsid w:val="00982628"/>
    <w:rsid w:val="009828D1"/>
    <w:rsid w:val="00983D86"/>
    <w:rsid w:val="0098429F"/>
    <w:rsid w:val="00993BC9"/>
    <w:rsid w:val="00994CFA"/>
    <w:rsid w:val="00994D82"/>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699E"/>
    <w:rsid w:val="009D6B1A"/>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475DF"/>
    <w:rsid w:val="00B54246"/>
    <w:rsid w:val="00B56285"/>
    <w:rsid w:val="00B57D6D"/>
    <w:rsid w:val="00B6097B"/>
    <w:rsid w:val="00B624FF"/>
    <w:rsid w:val="00B65A2F"/>
    <w:rsid w:val="00B7199A"/>
    <w:rsid w:val="00B73572"/>
    <w:rsid w:val="00B75CA9"/>
    <w:rsid w:val="00B7677E"/>
    <w:rsid w:val="00B82419"/>
    <w:rsid w:val="00B83151"/>
    <w:rsid w:val="00B8372E"/>
    <w:rsid w:val="00B85746"/>
    <w:rsid w:val="00B91F58"/>
    <w:rsid w:val="00B926C5"/>
    <w:rsid w:val="00B933D3"/>
    <w:rsid w:val="00B97E00"/>
    <w:rsid w:val="00BA2A3C"/>
    <w:rsid w:val="00BA38EB"/>
    <w:rsid w:val="00BA64E3"/>
    <w:rsid w:val="00BB071A"/>
    <w:rsid w:val="00BB303B"/>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6C68"/>
    <w:rsid w:val="00C47676"/>
    <w:rsid w:val="00C5062D"/>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A23"/>
    <w:rsid w:val="00C9458F"/>
    <w:rsid w:val="00C965C0"/>
    <w:rsid w:val="00C976A9"/>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0CC"/>
    <w:rsid w:val="00D12C22"/>
    <w:rsid w:val="00D13B95"/>
    <w:rsid w:val="00D1407B"/>
    <w:rsid w:val="00D161E5"/>
    <w:rsid w:val="00D212D1"/>
    <w:rsid w:val="00D224EE"/>
    <w:rsid w:val="00D2637C"/>
    <w:rsid w:val="00D26AC6"/>
    <w:rsid w:val="00D27889"/>
    <w:rsid w:val="00D32F7A"/>
    <w:rsid w:val="00D37C5B"/>
    <w:rsid w:val="00D46775"/>
    <w:rsid w:val="00D467EB"/>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39C"/>
    <w:rsid w:val="00DB34C9"/>
    <w:rsid w:val="00DB6A8F"/>
    <w:rsid w:val="00DC0205"/>
    <w:rsid w:val="00DC0413"/>
    <w:rsid w:val="00DC10A4"/>
    <w:rsid w:val="00DC260F"/>
    <w:rsid w:val="00DC3C58"/>
    <w:rsid w:val="00DC3D61"/>
    <w:rsid w:val="00DC4C5C"/>
    <w:rsid w:val="00DC4FBC"/>
    <w:rsid w:val="00DC6700"/>
    <w:rsid w:val="00DC7131"/>
    <w:rsid w:val="00DD1177"/>
    <w:rsid w:val="00DD7FA1"/>
    <w:rsid w:val="00DE2D86"/>
    <w:rsid w:val="00DE3B2F"/>
    <w:rsid w:val="00DF0C0B"/>
    <w:rsid w:val="00DF24B6"/>
    <w:rsid w:val="00DF45B2"/>
    <w:rsid w:val="00DF4BAC"/>
    <w:rsid w:val="00E01791"/>
    <w:rsid w:val="00E041AC"/>
    <w:rsid w:val="00E05959"/>
    <w:rsid w:val="00E1073E"/>
    <w:rsid w:val="00E10ADC"/>
    <w:rsid w:val="00E12AF9"/>
    <w:rsid w:val="00E13CD5"/>
    <w:rsid w:val="00E144DE"/>
    <w:rsid w:val="00E1466E"/>
    <w:rsid w:val="00E14833"/>
    <w:rsid w:val="00E1569E"/>
    <w:rsid w:val="00E16C85"/>
    <w:rsid w:val="00E2076F"/>
    <w:rsid w:val="00E254A8"/>
    <w:rsid w:val="00E26C89"/>
    <w:rsid w:val="00E311A6"/>
    <w:rsid w:val="00E31C4F"/>
    <w:rsid w:val="00E32CE8"/>
    <w:rsid w:val="00E3655A"/>
    <w:rsid w:val="00E36B28"/>
    <w:rsid w:val="00E40AA4"/>
    <w:rsid w:val="00E41F5F"/>
    <w:rsid w:val="00E42710"/>
    <w:rsid w:val="00E42E42"/>
    <w:rsid w:val="00E522BC"/>
    <w:rsid w:val="00E543F2"/>
    <w:rsid w:val="00E54B57"/>
    <w:rsid w:val="00E616B9"/>
    <w:rsid w:val="00E64B6F"/>
    <w:rsid w:val="00E65924"/>
    <w:rsid w:val="00E7062A"/>
    <w:rsid w:val="00E74B41"/>
    <w:rsid w:val="00E764D1"/>
    <w:rsid w:val="00E80D85"/>
    <w:rsid w:val="00E83C2D"/>
    <w:rsid w:val="00E8601E"/>
    <w:rsid w:val="00E872EE"/>
    <w:rsid w:val="00E876AE"/>
    <w:rsid w:val="00E900E0"/>
    <w:rsid w:val="00E94A81"/>
    <w:rsid w:val="00EA3058"/>
    <w:rsid w:val="00EA7493"/>
    <w:rsid w:val="00EA775B"/>
    <w:rsid w:val="00EB4C40"/>
    <w:rsid w:val="00EB4DD9"/>
    <w:rsid w:val="00EB624C"/>
    <w:rsid w:val="00EC1164"/>
    <w:rsid w:val="00EC627E"/>
    <w:rsid w:val="00EE0EDD"/>
    <w:rsid w:val="00EE36B7"/>
    <w:rsid w:val="00EE44EF"/>
    <w:rsid w:val="00EF1422"/>
    <w:rsid w:val="00EF3002"/>
    <w:rsid w:val="00EF3913"/>
    <w:rsid w:val="00EF560F"/>
    <w:rsid w:val="00EF65B0"/>
    <w:rsid w:val="00EF7E75"/>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0649"/>
    <w:rsid w:val="00F41D93"/>
    <w:rsid w:val="00F46870"/>
    <w:rsid w:val="00F46B70"/>
    <w:rsid w:val="00F520A9"/>
    <w:rsid w:val="00F52CFF"/>
    <w:rsid w:val="00F536BE"/>
    <w:rsid w:val="00F56943"/>
    <w:rsid w:val="00F61BF6"/>
    <w:rsid w:val="00F620AB"/>
    <w:rsid w:val="00F64545"/>
    <w:rsid w:val="00F67102"/>
    <w:rsid w:val="00F709AA"/>
    <w:rsid w:val="00F71E96"/>
    <w:rsid w:val="00F72BF4"/>
    <w:rsid w:val="00F7590C"/>
    <w:rsid w:val="00F81777"/>
    <w:rsid w:val="00F84D65"/>
    <w:rsid w:val="00F87172"/>
    <w:rsid w:val="00F90D7D"/>
    <w:rsid w:val="00F91E47"/>
    <w:rsid w:val="00F92507"/>
    <w:rsid w:val="00F9428D"/>
    <w:rsid w:val="00F958B9"/>
    <w:rsid w:val="00FA4284"/>
    <w:rsid w:val="00FA5E2E"/>
    <w:rsid w:val="00FB03C5"/>
    <w:rsid w:val="00FB03D3"/>
    <w:rsid w:val="00FB229C"/>
    <w:rsid w:val="00FB2E48"/>
    <w:rsid w:val="00FB428A"/>
    <w:rsid w:val="00FB489B"/>
    <w:rsid w:val="00FB65E1"/>
    <w:rsid w:val="00FB6BB0"/>
    <w:rsid w:val="00FB6EBE"/>
    <w:rsid w:val="00FC219D"/>
    <w:rsid w:val="00FC2A91"/>
    <w:rsid w:val="00FC314E"/>
    <w:rsid w:val="00FC441D"/>
    <w:rsid w:val="00FC4E73"/>
    <w:rsid w:val="00FD65F4"/>
    <w:rsid w:val="00FD71C8"/>
    <w:rsid w:val="00FD74CC"/>
    <w:rsid w:val="00FE2044"/>
    <w:rsid w:val="00FE368A"/>
    <w:rsid w:val="00FF0698"/>
    <w:rsid w:val="00FF2C3D"/>
    <w:rsid w:val="011E15F8"/>
    <w:rsid w:val="0124391B"/>
    <w:rsid w:val="01340364"/>
    <w:rsid w:val="01653282"/>
    <w:rsid w:val="016B2576"/>
    <w:rsid w:val="017079F6"/>
    <w:rsid w:val="017A73A7"/>
    <w:rsid w:val="018D62E5"/>
    <w:rsid w:val="01922DAC"/>
    <w:rsid w:val="01A10813"/>
    <w:rsid w:val="01AA5DCF"/>
    <w:rsid w:val="02086DD1"/>
    <w:rsid w:val="02096875"/>
    <w:rsid w:val="023F4004"/>
    <w:rsid w:val="026011A7"/>
    <w:rsid w:val="029D05EB"/>
    <w:rsid w:val="02BC6E3E"/>
    <w:rsid w:val="02E6056C"/>
    <w:rsid w:val="02E66489"/>
    <w:rsid w:val="02EA366D"/>
    <w:rsid w:val="02F076F8"/>
    <w:rsid w:val="02FC0890"/>
    <w:rsid w:val="03213326"/>
    <w:rsid w:val="03554DFB"/>
    <w:rsid w:val="035F1C34"/>
    <w:rsid w:val="03B33244"/>
    <w:rsid w:val="03BB03F0"/>
    <w:rsid w:val="03C2338C"/>
    <w:rsid w:val="03C44BB5"/>
    <w:rsid w:val="03CA2475"/>
    <w:rsid w:val="03D978D4"/>
    <w:rsid w:val="043041D3"/>
    <w:rsid w:val="044A451F"/>
    <w:rsid w:val="04502B00"/>
    <w:rsid w:val="046926C7"/>
    <w:rsid w:val="04930524"/>
    <w:rsid w:val="049A6BC0"/>
    <w:rsid w:val="049F746B"/>
    <w:rsid w:val="04C161C2"/>
    <w:rsid w:val="052D7AAA"/>
    <w:rsid w:val="0541155C"/>
    <w:rsid w:val="05431A26"/>
    <w:rsid w:val="054F3468"/>
    <w:rsid w:val="05721669"/>
    <w:rsid w:val="05762F8F"/>
    <w:rsid w:val="05767FB8"/>
    <w:rsid w:val="05804C64"/>
    <w:rsid w:val="058500B4"/>
    <w:rsid w:val="05AC7BF4"/>
    <w:rsid w:val="05CC57C4"/>
    <w:rsid w:val="05F833A7"/>
    <w:rsid w:val="0603174A"/>
    <w:rsid w:val="0614624B"/>
    <w:rsid w:val="065F4698"/>
    <w:rsid w:val="0678078D"/>
    <w:rsid w:val="06821EEF"/>
    <w:rsid w:val="069809AC"/>
    <w:rsid w:val="069D7ED4"/>
    <w:rsid w:val="0747226A"/>
    <w:rsid w:val="076D0B83"/>
    <w:rsid w:val="07B6505F"/>
    <w:rsid w:val="07C35286"/>
    <w:rsid w:val="07C631E6"/>
    <w:rsid w:val="07CB41A4"/>
    <w:rsid w:val="08124875"/>
    <w:rsid w:val="08154D08"/>
    <w:rsid w:val="08171156"/>
    <w:rsid w:val="082F75FC"/>
    <w:rsid w:val="084349F8"/>
    <w:rsid w:val="08625508"/>
    <w:rsid w:val="089326E0"/>
    <w:rsid w:val="08AC08E6"/>
    <w:rsid w:val="08AD5056"/>
    <w:rsid w:val="08E3343B"/>
    <w:rsid w:val="092154C7"/>
    <w:rsid w:val="09554073"/>
    <w:rsid w:val="09855E02"/>
    <w:rsid w:val="099A5A28"/>
    <w:rsid w:val="09B15222"/>
    <w:rsid w:val="09BE1F73"/>
    <w:rsid w:val="09C742E1"/>
    <w:rsid w:val="09DD0CF5"/>
    <w:rsid w:val="09E1421F"/>
    <w:rsid w:val="09F930EA"/>
    <w:rsid w:val="09FF54DC"/>
    <w:rsid w:val="0A1603C1"/>
    <w:rsid w:val="0A245448"/>
    <w:rsid w:val="0A7C3F6D"/>
    <w:rsid w:val="0A7D3AE6"/>
    <w:rsid w:val="0A9868F9"/>
    <w:rsid w:val="0AC172E9"/>
    <w:rsid w:val="0ACA060F"/>
    <w:rsid w:val="0AD71E9B"/>
    <w:rsid w:val="0B0B5F07"/>
    <w:rsid w:val="0B516F03"/>
    <w:rsid w:val="0B674F8E"/>
    <w:rsid w:val="0B7D3EDE"/>
    <w:rsid w:val="0B89775E"/>
    <w:rsid w:val="0BCE7EA7"/>
    <w:rsid w:val="0C3928C9"/>
    <w:rsid w:val="0C4718F6"/>
    <w:rsid w:val="0C9C36D5"/>
    <w:rsid w:val="0CBB6787"/>
    <w:rsid w:val="0CE034C0"/>
    <w:rsid w:val="0CE37539"/>
    <w:rsid w:val="0CF63F41"/>
    <w:rsid w:val="0CFE0FC0"/>
    <w:rsid w:val="0D0374E3"/>
    <w:rsid w:val="0D06787E"/>
    <w:rsid w:val="0D0A572F"/>
    <w:rsid w:val="0D0A6306"/>
    <w:rsid w:val="0D16312A"/>
    <w:rsid w:val="0D1B1559"/>
    <w:rsid w:val="0D1C1711"/>
    <w:rsid w:val="0D555176"/>
    <w:rsid w:val="0D6F0E5D"/>
    <w:rsid w:val="0D7B2231"/>
    <w:rsid w:val="0D887BC6"/>
    <w:rsid w:val="0DB1060F"/>
    <w:rsid w:val="0DCD5C93"/>
    <w:rsid w:val="0E016C40"/>
    <w:rsid w:val="0E311BA4"/>
    <w:rsid w:val="0E336A16"/>
    <w:rsid w:val="0E64092D"/>
    <w:rsid w:val="0E7D0AB3"/>
    <w:rsid w:val="0E7D5C8D"/>
    <w:rsid w:val="0E963CAB"/>
    <w:rsid w:val="0EA51F74"/>
    <w:rsid w:val="0EAF1251"/>
    <w:rsid w:val="0ED36ED3"/>
    <w:rsid w:val="0EE6002D"/>
    <w:rsid w:val="0EEE1E26"/>
    <w:rsid w:val="0F00375C"/>
    <w:rsid w:val="0F560D8D"/>
    <w:rsid w:val="0F5764BB"/>
    <w:rsid w:val="0F6257C5"/>
    <w:rsid w:val="0F7A2DB0"/>
    <w:rsid w:val="0FB42DAE"/>
    <w:rsid w:val="0FBB1C4A"/>
    <w:rsid w:val="0FC41391"/>
    <w:rsid w:val="0FC43940"/>
    <w:rsid w:val="0FDE036F"/>
    <w:rsid w:val="0FEA11FB"/>
    <w:rsid w:val="0FF72380"/>
    <w:rsid w:val="10197224"/>
    <w:rsid w:val="10227FC7"/>
    <w:rsid w:val="1029166D"/>
    <w:rsid w:val="108C1B09"/>
    <w:rsid w:val="10F3457C"/>
    <w:rsid w:val="10FE2ED7"/>
    <w:rsid w:val="11160C7D"/>
    <w:rsid w:val="112B3BA0"/>
    <w:rsid w:val="1155348D"/>
    <w:rsid w:val="116105A8"/>
    <w:rsid w:val="11746A5F"/>
    <w:rsid w:val="11AA42B6"/>
    <w:rsid w:val="11CB3F36"/>
    <w:rsid w:val="11F15383"/>
    <w:rsid w:val="12065192"/>
    <w:rsid w:val="12125307"/>
    <w:rsid w:val="125F51F7"/>
    <w:rsid w:val="12607E18"/>
    <w:rsid w:val="12D45BF3"/>
    <w:rsid w:val="12E61DF9"/>
    <w:rsid w:val="132C0FC9"/>
    <w:rsid w:val="13DC1C7A"/>
    <w:rsid w:val="13DF6617"/>
    <w:rsid w:val="14127E02"/>
    <w:rsid w:val="14D75725"/>
    <w:rsid w:val="152E1013"/>
    <w:rsid w:val="156845D9"/>
    <w:rsid w:val="156A2131"/>
    <w:rsid w:val="158F2312"/>
    <w:rsid w:val="15A23E67"/>
    <w:rsid w:val="15B74989"/>
    <w:rsid w:val="15E31867"/>
    <w:rsid w:val="15F54513"/>
    <w:rsid w:val="15F54AE8"/>
    <w:rsid w:val="165F5F88"/>
    <w:rsid w:val="16742C11"/>
    <w:rsid w:val="167D64C8"/>
    <w:rsid w:val="16B243CF"/>
    <w:rsid w:val="16C20E04"/>
    <w:rsid w:val="16C53D0A"/>
    <w:rsid w:val="16D62715"/>
    <w:rsid w:val="16DB7598"/>
    <w:rsid w:val="16E057F3"/>
    <w:rsid w:val="170E104E"/>
    <w:rsid w:val="173B3423"/>
    <w:rsid w:val="174E1EC3"/>
    <w:rsid w:val="174F614E"/>
    <w:rsid w:val="17593F7C"/>
    <w:rsid w:val="179C6BA6"/>
    <w:rsid w:val="17B9383D"/>
    <w:rsid w:val="17C75809"/>
    <w:rsid w:val="17E165CB"/>
    <w:rsid w:val="17EB74E7"/>
    <w:rsid w:val="180D7E99"/>
    <w:rsid w:val="185C66AE"/>
    <w:rsid w:val="186B2AA6"/>
    <w:rsid w:val="1876710A"/>
    <w:rsid w:val="187C3036"/>
    <w:rsid w:val="188D3123"/>
    <w:rsid w:val="18DC4043"/>
    <w:rsid w:val="18DD0937"/>
    <w:rsid w:val="190D6C99"/>
    <w:rsid w:val="19223429"/>
    <w:rsid w:val="19245762"/>
    <w:rsid w:val="19601987"/>
    <w:rsid w:val="19690B66"/>
    <w:rsid w:val="197403CC"/>
    <w:rsid w:val="19B429F8"/>
    <w:rsid w:val="19B72F86"/>
    <w:rsid w:val="19B85E10"/>
    <w:rsid w:val="19BC22D6"/>
    <w:rsid w:val="19E020B8"/>
    <w:rsid w:val="19E8568F"/>
    <w:rsid w:val="1A0265AC"/>
    <w:rsid w:val="1A0D36FE"/>
    <w:rsid w:val="1A230D00"/>
    <w:rsid w:val="1A3106BF"/>
    <w:rsid w:val="1A4B05C3"/>
    <w:rsid w:val="1A5B6C23"/>
    <w:rsid w:val="1A8717B9"/>
    <w:rsid w:val="1AC6787B"/>
    <w:rsid w:val="1ACB0AE0"/>
    <w:rsid w:val="1AED2EFC"/>
    <w:rsid w:val="1B0D313F"/>
    <w:rsid w:val="1B320224"/>
    <w:rsid w:val="1B6A22C9"/>
    <w:rsid w:val="1B830DA9"/>
    <w:rsid w:val="1BC3044B"/>
    <w:rsid w:val="1BD23808"/>
    <w:rsid w:val="1C1007DD"/>
    <w:rsid w:val="1C3938AC"/>
    <w:rsid w:val="1C3B2B44"/>
    <w:rsid w:val="1C3E68C5"/>
    <w:rsid w:val="1C401C64"/>
    <w:rsid w:val="1C551678"/>
    <w:rsid w:val="1C5C14DD"/>
    <w:rsid w:val="1CA677B8"/>
    <w:rsid w:val="1CD6295C"/>
    <w:rsid w:val="1CE44D73"/>
    <w:rsid w:val="1CF20859"/>
    <w:rsid w:val="1D393F6D"/>
    <w:rsid w:val="1D3C017E"/>
    <w:rsid w:val="1D5E3DF4"/>
    <w:rsid w:val="1D664BF1"/>
    <w:rsid w:val="1D66642C"/>
    <w:rsid w:val="1D817FD4"/>
    <w:rsid w:val="1D97493F"/>
    <w:rsid w:val="1DA958AD"/>
    <w:rsid w:val="1DB84D0E"/>
    <w:rsid w:val="1DDB774B"/>
    <w:rsid w:val="1DF06B0A"/>
    <w:rsid w:val="1E1A291F"/>
    <w:rsid w:val="1E480074"/>
    <w:rsid w:val="1E6854BC"/>
    <w:rsid w:val="1E6C1F65"/>
    <w:rsid w:val="1E784143"/>
    <w:rsid w:val="1E815BA1"/>
    <w:rsid w:val="1E8B3D11"/>
    <w:rsid w:val="1E9D2721"/>
    <w:rsid w:val="1EBD353A"/>
    <w:rsid w:val="1EC27F75"/>
    <w:rsid w:val="1EC865D8"/>
    <w:rsid w:val="1EDB10BF"/>
    <w:rsid w:val="1EF208C3"/>
    <w:rsid w:val="1EFC4767"/>
    <w:rsid w:val="1F0A1B74"/>
    <w:rsid w:val="1F0C32F6"/>
    <w:rsid w:val="1F0D4C5B"/>
    <w:rsid w:val="1F2018E1"/>
    <w:rsid w:val="1F49440C"/>
    <w:rsid w:val="1F7478B7"/>
    <w:rsid w:val="1FCB7610"/>
    <w:rsid w:val="200158E4"/>
    <w:rsid w:val="201F614A"/>
    <w:rsid w:val="2036061A"/>
    <w:rsid w:val="20390284"/>
    <w:rsid w:val="204474F4"/>
    <w:rsid w:val="206308DD"/>
    <w:rsid w:val="206B7CFB"/>
    <w:rsid w:val="20782FE0"/>
    <w:rsid w:val="20956654"/>
    <w:rsid w:val="20BF6B4D"/>
    <w:rsid w:val="20CE49E5"/>
    <w:rsid w:val="20EB177E"/>
    <w:rsid w:val="20EC2AB3"/>
    <w:rsid w:val="20F560A2"/>
    <w:rsid w:val="21075EAE"/>
    <w:rsid w:val="21446D64"/>
    <w:rsid w:val="218E227A"/>
    <w:rsid w:val="219B0E35"/>
    <w:rsid w:val="21B262B5"/>
    <w:rsid w:val="21B97618"/>
    <w:rsid w:val="21C46F29"/>
    <w:rsid w:val="21F82CE7"/>
    <w:rsid w:val="220732D0"/>
    <w:rsid w:val="221B1AA1"/>
    <w:rsid w:val="22493602"/>
    <w:rsid w:val="22871F41"/>
    <w:rsid w:val="22E76720"/>
    <w:rsid w:val="23351427"/>
    <w:rsid w:val="233D075D"/>
    <w:rsid w:val="235A2118"/>
    <w:rsid w:val="23A302C8"/>
    <w:rsid w:val="23AE428F"/>
    <w:rsid w:val="23CA04FD"/>
    <w:rsid w:val="23EF4F44"/>
    <w:rsid w:val="24017C3E"/>
    <w:rsid w:val="2478400A"/>
    <w:rsid w:val="24A977D4"/>
    <w:rsid w:val="24FB7B5E"/>
    <w:rsid w:val="25482D76"/>
    <w:rsid w:val="256956B8"/>
    <w:rsid w:val="25830BDD"/>
    <w:rsid w:val="25936C44"/>
    <w:rsid w:val="2595447B"/>
    <w:rsid w:val="25AB53AA"/>
    <w:rsid w:val="25CA6E03"/>
    <w:rsid w:val="25D90F8B"/>
    <w:rsid w:val="26205CFD"/>
    <w:rsid w:val="263B1339"/>
    <w:rsid w:val="263D681D"/>
    <w:rsid w:val="266807FF"/>
    <w:rsid w:val="26911AED"/>
    <w:rsid w:val="26AC098C"/>
    <w:rsid w:val="26AF4030"/>
    <w:rsid w:val="26F02FAB"/>
    <w:rsid w:val="272145E0"/>
    <w:rsid w:val="275E3610"/>
    <w:rsid w:val="276A51E0"/>
    <w:rsid w:val="277B3338"/>
    <w:rsid w:val="277E33C0"/>
    <w:rsid w:val="278665D7"/>
    <w:rsid w:val="27ED72B6"/>
    <w:rsid w:val="27F52CFD"/>
    <w:rsid w:val="280C0039"/>
    <w:rsid w:val="282D258B"/>
    <w:rsid w:val="283B0BBB"/>
    <w:rsid w:val="285E0683"/>
    <w:rsid w:val="28854F72"/>
    <w:rsid w:val="28BA186B"/>
    <w:rsid w:val="28D864E0"/>
    <w:rsid w:val="28E32ED5"/>
    <w:rsid w:val="28FD5777"/>
    <w:rsid w:val="290D5247"/>
    <w:rsid w:val="294F1A4F"/>
    <w:rsid w:val="29814F03"/>
    <w:rsid w:val="298D119C"/>
    <w:rsid w:val="29A0418D"/>
    <w:rsid w:val="29B81621"/>
    <w:rsid w:val="29E91BC9"/>
    <w:rsid w:val="29E97234"/>
    <w:rsid w:val="29ED3EB9"/>
    <w:rsid w:val="29F9264C"/>
    <w:rsid w:val="2A546A20"/>
    <w:rsid w:val="2A5471DE"/>
    <w:rsid w:val="2ADE530A"/>
    <w:rsid w:val="2AEC38E2"/>
    <w:rsid w:val="2B21260A"/>
    <w:rsid w:val="2B222ACD"/>
    <w:rsid w:val="2BB2438C"/>
    <w:rsid w:val="2BC22C7B"/>
    <w:rsid w:val="2BCA32A1"/>
    <w:rsid w:val="2C055696"/>
    <w:rsid w:val="2C070392"/>
    <w:rsid w:val="2C2D2F9C"/>
    <w:rsid w:val="2C551389"/>
    <w:rsid w:val="2C863751"/>
    <w:rsid w:val="2C890BE2"/>
    <w:rsid w:val="2CB2362F"/>
    <w:rsid w:val="2CC35888"/>
    <w:rsid w:val="2CDC700C"/>
    <w:rsid w:val="2CEB1449"/>
    <w:rsid w:val="2D4D5DA6"/>
    <w:rsid w:val="2D883B0E"/>
    <w:rsid w:val="2D8B3A56"/>
    <w:rsid w:val="2D9655B5"/>
    <w:rsid w:val="2D9B4C43"/>
    <w:rsid w:val="2DB60C0D"/>
    <w:rsid w:val="2DB66DAF"/>
    <w:rsid w:val="2DED7AC1"/>
    <w:rsid w:val="2DF55C0B"/>
    <w:rsid w:val="2E007F3F"/>
    <w:rsid w:val="2E034032"/>
    <w:rsid w:val="2E110ADE"/>
    <w:rsid w:val="2E29498D"/>
    <w:rsid w:val="2E2E141D"/>
    <w:rsid w:val="2E521653"/>
    <w:rsid w:val="2E6D15F0"/>
    <w:rsid w:val="2E7B7104"/>
    <w:rsid w:val="2E7C7DB1"/>
    <w:rsid w:val="2E926146"/>
    <w:rsid w:val="2E9E2680"/>
    <w:rsid w:val="2EB7183E"/>
    <w:rsid w:val="2EBF5D80"/>
    <w:rsid w:val="2EC67B81"/>
    <w:rsid w:val="2EED184C"/>
    <w:rsid w:val="2F946053"/>
    <w:rsid w:val="2FB111C0"/>
    <w:rsid w:val="2FB250EE"/>
    <w:rsid w:val="2FBE1727"/>
    <w:rsid w:val="300A04DE"/>
    <w:rsid w:val="302A58D2"/>
    <w:rsid w:val="3034564F"/>
    <w:rsid w:val="305E3181"/>
    <w:rsid w:val="306B6815"/>
    <w:rsid w:val="307811E2"/>
    <w:rsid w:val="308B7EDE"/>
    <w:rsid w:val="308C1105"/>
    <w:rsid w:val="308D292D"/>
    <w:rsid w:val="30996E7C"/>
    <w:rsid w:val="30BB7024"/>
    <w:rsid w:val="30CF43FA"/>
    <w:rsid w:val="30E363D4"/>
    <w:rsid w:val="30E72B9B"/>
    <w:rsid w:val="31386DF1"/>
    <w:rsid w:val="31461845"/>
    <w:rsid w:val="319B49F2"/>
    <w:rsid w:val="31DA1919"/>
    <w:rsid w:val="31DB702A"/>
    <w:rsid w:val="31ED18E3"/>
    <w:rsid w:val="31EE3D4C"/>
    <w:rsid w:val="322B69F3"/>
    <w:rsid w:val="32950F56"/>
    <w:rsid w:val="32997C5C"/>
    <w:rsid w:val="329F5D83"/>
    <w:rsid w:val="32AE67FE"/>
    <w:rsid w:val="32BF1974"/>
    <w:rsid w:val="32C40656"/>
    <w:rsid w:val="32C67030"/>
    <w:rsid w:val="32EF63BD"/>
    <w:rsid w:val="3300581E"/>
    <w:rsid w:val="331204DD"/>
    <w:rsid w:val="332D317D"/>
    <w:rsid w:val="3371460F"/>
    <w:rsid w:val="337F32F4"/>
    <w:rsid w:val="338623B5"/>
    <w:rsid w:val="33897800"/>
    <w:rsid w:val="33C12B14"/>
    <w:rsid w:val="33C77CE4"/>
    <w:rsid w:val="347608AD"/>
    <w:rsid w:val="34B2648F"/>
    <w:rsid w:val="34B45F97"/>
    <w:rsid w:val="34C533CE"/>
    <w:rsid w:val="34DE1476"/>
    <w:rsid w:val="34E7797D"/>
    <w:rsid w:val="350100F6"/>
    <w:rsid w:val="35081CE0"/>
    <w:rsid w:val="353225AF"/>
    <w:rsid w:val="35330164"/>
    <w:rsid w:val="35372BEB"/>
    <w:rsid w:val="357D18D4"/>
    <w:rsid w:val="3583106D"/>
    <w:rsid w:val="358D6E27"/>
    <w:rsid w:val="35AB1587"/>
    <w:rsid w:val="35DD7083"/>
    <w:rsid w:val="35E16CDF"/>
    <w:rsid w:val="35F51443"/>
    <w:rsid w:val="35FB01E4"/>
    <w:rsid w:val="35FC2475"/>
    <w:rsid w:val="36000DEE"/>
    <w:rsid w:val="361075AA"/>
    <w:rsid w:val="3619247E"/>
    <w:rsid w:val="361C32E3"/>
    <w:rsid w:val="362D1EA8"/>
    <w:rsid w:val="363B4F21"/>
    <w:rsid w:val="36452244"/>
    <w:rsid w:val="365325D3"/>
    <w:rsid w:val="36604074"/>
    <w:rsid w:val="367A4AE9"/>
    <w:rsid w:val="36C733A6"/>
    <w:rsid w:val="36CF0F85"/>
    <w:rsid w:val="36F24313"/>
    <w:rsid w:val="37096D47"/>
    <w:rsid w:val="37176A8D"/>
    <w:rsid w:val="371C4C0A"/>
    <w:rsid w:val="372F0C76"/>
    <w:rsid w:val="37326CAA"/>
    <w:rsid w:val="37332780"/>
    <w:rsid w:val="37461637"/>
    <w:rsid w:val="37603C70"/>
    <w:rsid w:val="37906037"/>
    <w:rsid w:val="37B107DF"/>
    <w:rsid w:val="37EC2340"/>
    <w:rsid w:val="383306CA"/>
    <w:rsid w:val="388F3360"/>
    <w:rsid w:val="38B60CED"/>
    <w:rsid w:val="38BD57EE"/>
    <w:rsid w:val="38C66435"/>
    <w:rsid w:val="38C72C82"/>
    <w:rsid w:val="38D0712F"/>
    <w:rsid w:val="390147D5"/>
    <w:rsid w:val="391E4543"/>
    <w:rsid w:val="39297CD8"/>
    <w:rsid w:val="394064F4"/>
    <w:rsid w:val="39555064"/>
    <w:rsid w:val="39DB0183"/>
    <w:rsid w:val="39E16FE0"/>
    <w:rsid w:val="3A005687"/>
    <w:rsid w:val="3A084041"/>
    <w:rsid w:val="3A0C5A88"/>
    <w:rsid w:val="3A22197C"/>
    <w:rsid w:val="3A3E0FB0"/>
    <w:rsid w:val="3AC6747A"/>
    <w:rsid w:val="3AC8207F"/>
    <w:rsid w:val="3AF172AC"/>
    <w:rsid w:val="3B22543A"/>
    <w:rsid w:val="3B311067"/>
    <w:rsid w:val="3B6C3AF0"/>
    <w:rsid w:val="3B6E41AD"/>
    <w:rsid w:val="3B8C10A4"/>
    <w:rsid w:val="3BA5009C"/>
    <w:rsid w:val="3BE00A47"/>
    <w:rsid w:val="3C0E4B8A"/>
    <w:rsid w:val="3C1E52CF"/>
    <w:rsid w:val="3C3057C7"/>
    <w:rsid w:val="3C8056A3"/>
    <w:rsid w:val="3CA95D3D"/>
    <w:rsid w:val="3CC83A56"/>
    <w:rsid w:val="3CCC31AE"/>
    <w:rsid w:val="3CF30D75"/>
    <w:rsid w:val="3D1F4448"/>
    <w:rsid w:val="3DA151C8"/>
    <w:rsid w:val="3DC00F9C"/>
    <w:rsid w:val="3DCF21E6"/>
    <w:rsid w:val="3DCF76E3"/>
    <w:rsid w:val="3E0301DA"/>
    <w:rsid w:val="3E1B096F"/>
    <w:rsid w:val="3E2B66F1"/>
    <w:rsid w:val="3E2F3297"/>
    <w:rsid w:val="3E432B3C"/>
    <w:rsid w:val="3E440CAA"/>
    <w:rsid w:val="3E6C6867"/>
    <w:rsid w:val="3EDC70DA"/>
    <w:rsid w:val="3EEA6653"/>
    <w:rsid w:val="3F1F063F"/>
    <w:rsid w:val="3F344A27"/>
    <w:rsid w:val="3F395DA7"/>
    <w:rsid w:val="3F3D1A00"/>
    <w:rsid w:val="3F693D1E"/>
    <w:rsid w:val="3F7C08BE"/>
    <w:rsid w:val="3F8C4BB5"/>
    <w:rsid w:val="3FAF1BDB"/>
    <w:rsid w:val="3FAF36F8"/>
    <w:rsid w:val="402F10B7"/>
    <w:rsid w:val="40BE135F"/>
    <w:rsid w:val="40C84DC0"/>
    <w:rsid w:val="40E63087"/>
    <w:rsid w:val="40EE74C4"/>
    <w:rsid w:val="41021FF2"/>
    <w:rsid w:val="413B7C4F"/>
    <w:rsid w:val="41417772"/>
    <w:rsid w:val="417047AC"/>
    <w:rsid w:val="417D2BF0"/>
    <w:rsid w:val="41D74163"/>
    <w:rsid w:val="41EC7D00"/>
    <w:rsid w:val="41FE21BE"/>
    <w:rsid w:val="420402E9"/>
    <w:rsid w:val="42040900"/>
    <w:rsid w:val="42227488"/>
    <w:rsid w:val="42531840"/>
    <w:rsid w:val="42856D8B"/>
    <w:rsid w:val="429814D9"/>
    <w:rsid w:val="42A677C5"/>
    <w:rsid w:val="42B73177"/>
    <w:rsid w:val="42D66CA8"/>
    <w:rsid w:val="42FE679E"/>
    <w:rsid w:val="43131DC9"/>
    <w:rsid w:val="43315492"/>
    <w:rsid w:val="4363130B"/>
    <w:rsid w:val="437D6BB8"/>
    <w:rsid w:val="43C42B2A"/>
    <w:rsid w:val="43D80BD9"/>
    <w:rsid w:val="43DD39C4"/>
    <w:rsid w:val="43E1472A"/>
    <w:rsid w:val="44060E88"/>
    <w:rsid w:val="44070D31"/>
    <w:rsid w:val="446620DC"/>
    <w:rsid w:val="44994749"/>
    <w:rsid w:val="44B17375"/>
    <w:rsid w:val="44CB06C6"/>
    <w:rsid w:val="44D96A59"/>
    <w:rsid w:val="451413DC"/>
    <w:rsid w:val="452B72F7"/>
    <w:rsid w:val="455F04A3"/>
    <w:rsid w:val="458A0E9B"/>
    <w:rsid w:val="45AA21AA"/>
    <w:rsid w:val="45B03354"/>
    <w:rsid w:val="45BE3AA1"/>
    <w:rsid w:val="45D77AC2"/>
    <w:rsid w:val="460D03A3"/>
    <w:rsid w:val="46170337"/>
    <w:rsid w:val="46BC4D6B"/>
    <w:rsid w:val="4709536A"/>
    <w:rsid w:val="47346345"/>
    <w:rsid w:val="474C22E0"/>
    <w:rsid w:val="475F108B"/>
    <w:rsid w:val="479E0BF9"/>
    <w:rsid w:val="47CC2CBF"/>
    <w:rsid w:val="47E859E5"/>
    <w:rsid w:val="48015AC2"/>
    <w:rsid w:val="48026040"/>
    <w:rsid w:val="4806597B"/>
    <w:rsid w:val="4818686D"/>
    <w:rsid w:val="48290EA1"/>
    <w:rsid w:val="482F00F2"/>
    <w:rsid w:val="485D3FFB"/>
    <w:rsid w:val="485E3463"/>
    <w:rsid w:val="48985421"/>
    <w:rsid w:val="48A90E72"/>
    <w:rsid w:val="48B66A37"/>
    <w:rsid w:val="48D90BAA"/>
    <w:rsid w:val="48F60966"/>
    <w:rsid w:val="48F71B49"/>
    <w:rsid w:val="49022E3C"/>
    <w:rsid w:val="493A64D3"/>
    <w:rsid w:val="49563556"/>
    <w:rsid w:val="495B46CC"/>
    <w:rsid w:val="49791ED9"/>
    <w:rsid w:val="4994738B"/>
    <w:rsid w:val="49BA4E94"/>
    <w:rsid w:val="49C47816"/>
    <w:rsid w:val="49D96ACF"/>
    <w:rsid w:val="49F65120"/>
    <w:rsid w:val="49FA32DA"/>
    <w:rsid w:val="49FF6276"/>
    <w:rsid w:val="4A106B86"/>
    <w:rsid w:val="4A4354C2"/>
    <w:rsid w:val="4A474308"/>
    <w:rsid w:val="4A5934BB"/>
    <w:rsid w:val="4A6855C7"/>
    <w:rsid w:val="4A720EEF"/>
    <w:rsid w:val="4A8926F4"/>
    <w:rsid w:val="4AA91B97"/>
    <w:rsid w:val="4AAF31B1"/>
    <w:rsid w:val="4AD706A1"/>
    <w:rsid w:val="4B301A82"/>
    <w:rsid w:val="4B313227"/>
    <w:rsid w:val="4B434E7D"/>
    <w:rsid w:val="4B6603D5"/>
    <w:rsid w:val="4B7E054D"/>
    <w:rsid w:val="4B8E5A73"/>
    <w:rsid w:val="4B9716E8"/>
    <w:rsid w:val="4B981AFB"/>
    <w:rsid w:val="4BFB0D39"/>
    <w:rsid w:val="4C165BC1"/>
    <w:rsid w:val="4C2E05AB"/>
    <w:rsid w:val="4C3460DC"/>
    <w:rsid w:val="4C41266C"/>
    <w:rsid w:val="4C751E30"/>
    <w:rsid w:val="4C7B2918"/>
    <w:rsid w:val="4C93465E"/>
    <w:rsid w:val="4C940FE0"/>
    <w:rsid w:val="4CEE7232"/>
    <w:rsid w:val="4D1D334B"/>
    <w:rsid w:val="4D1F5259"/>
    <w:rsid w:val="4D1F766E"/>
    <w:rsid w:val="4D310CE0"/>
    <w:rsid w:val="4D6B61CD"/>
    <w:rsid w:val="4D7609DC"/>
    <w:rsid w:val="4D764358"/>
    <w:rsid w:val="4DA274F8"/>
    <w:rsid w:val="4DCB4C25"/>
    <w:rsid w:val="4DCD485F"/>
    <w:rsid w:val="4DEC7F03"/>
    <w:rsid w:val="4DF9198D"/>
    <w:rsid w:val="4E19786B"/>
    <w:rsid w:val="4E3C460A"/>
    <w:rsid w:val="4E3E69BC"/>
    <w:rsid w:val="4E3F10A8"/>
    <w:rsid w:val="4E4B26D4"/>
    <w:rsid w:val="4E547C4C"/>
    <w:rsid w:val="4E6B3D76"/>
    <w:rsid w:val="4E751922"/>
    <w:rsid w:val="4E7F48DD"/>
    <w:rsid w:val="4E846489"/>
    <w:rsid w:val="4E874D01"/>
    <w:rsid w:val="4E931ECD"/>
    <w:rsid w:val="4EB34DD0"/>
    <w:rsid w:val="4ECE788B"/>
    <w:rsid w:val="4F1E5F93"/>
    <w:rsid w:val="4F52155B"/>
    <w:rsid w:val="4F5416EE"/>
    <w:rsid w:val="4F573C87"/>
    <w:rsid w:val="4F5802AB"/>
    <w:rsid w:val="4F604D99"/>
    <w:rsid w:val="4F6F1C9B"/>
    <w:rsid w:val="4F9B3E73"/>
    <w:rsid w:val="4FAF1E86"/>
    <w:rsid w:val="50181D1A"/>
    <w:rsid w:val="502E4BEA"/>
    <w:rsid w:val="505A2966"/>
    <w:rsid w:val="507B2640"/>
    <w:rsid w:val="508B5174"/>
    <w:rsid w:val="50A8231C"/>
    <w:rsid w:val="50B05815"/>
    <w:rsid w:val="50FE62A2"/>
    <w:rsid w:val="51032870"/>
    <w:rsid w:val="51062C7C"/>
    <w:rsid w:val="510A1923"/>
    <w:rsid w:val="5120599C"/>
    <w:rsid w:val="51205C57"/>
    <w:rsid w:val="5145465F"/>
    <w:rsid w:val="515E708D"/>
    <w:rsid w:val="5169663D"/>
    <w:rsid w:val="51C80F05"/>
    <w:rsid w:val="51E03A19"/>
    <w:rsid w:val="520D6F4A"/>
    <w:rsid w:val="521F1163"/>
    <w:rsid w:val="52563E44"/>
    <w:rsid w:val="527F2428"/>
    <w:rsid w:val="52870E84"/>
    <w:rsid w:val="52BC1638"/>
    <w:rsid w:val="52D070F5"/>
    <w:rsid w:val="52D723B0"/>
    <w:rsid w:val="52FF75B0"/>
    <w:rsid w:val="534E0590"/>
    <w:rsid w:val="53AD4E07"/>
    <w:rsid w:val="540727CA"/>
    <w:rsid w:val="5415503F"/>
    <w:rsid w:val="543E07CB"/>
    <w:rsid w:val="54546A52"/>
    <w:rsid w:val="54B61333"/>
    <w:rsid w:val="54CD13A5"/>
    <w:rsid w:val="54CE60A9"/>
    <w:rsid w:val="54D71C0F"/>
    <w:rsid w:val="552134EF"/>
    <w:rsid w:val="55346F44"/>
    <w:rsid w:val="556548A8"/>
    <w:rsid w:val="556B26A8"/>
    <w:rsid w:val="556E70B3"/>
    <w:rsid w:val="55780BB3"/>
    <w:rsid w:val="557E5388"/>
    <w:rsid w:val="558420D1"/>
    <w:rsid w:val="559D25E7"/>
    <w:rsid w:val="55B8599C"/>
    <w:rsid w:val="55C51D6D"/>
    <w:rsid w:val="55EC16DE"/>
    <w:rsid w:val="55FB7AE9"/>
    <w:rsid w:val="564C3BAF"/>
    <w:rsid w:val="567C73D4"/>
    <w:rsid w:val="56971C9D"/>
    <w:rsid w:val="56A13FD5"/>
    <w:rsid w:val="56AF212C"/>
    <w:rsid w:val="56B22FD9"/>
    <w:rsid w:val="56CD35B6"/>
    <w:rsid w:val="56CD5DF2"/>
    <w:rsid w:val="56EF0E1E"/>
    <w:rsid w:val="56F55E75"/>
    <w:rsid w:val="57085025"/>
    <w:rsid w:val="570925BD"/>
    <w:rsid w:val="574A01C9"/>
    <w:rsid w:val="57683EB8"/>
    <w:rsid w:val="57C970C0"/>
    <w:rsid w:val="57CD20EB"/>
    <w:rsid w:val="57F8518C"/>
    <w:rsid w:val="58055912"/>
    <w:rsid w:val="580F5F80"/>
    <w:rsid w:val="587161E6"/>
    <w:rsid w:val="588E2186"/>
    <w:rsid w:val="588F79F3"/>
    <w:rsid w:val="58B06C41"/>
    <w:rsid w:val="58B438DB"/>
    <w:rsid w:val="58BC2BEA"/>
    <w:rsid w:val="58C37E45"/>
    <w:rsid w:val="58E50E83"/>
    <w:rsid w:val="58F637C8"/>
    <w:rsid w:val="58FA1C78"/>
    <w:rsid w:val="590F2C96"/>
    <w:rsid w:val="59114924"/>
    <w:rsid w:val="591E35A8"/>
    <w:rsid w:val="594A0D9A"/>
    <w:rsid w:val="59530AC8"/>
    <w:rsid w:val="596140D0"/>
    <w:rsid w:val="596F395C"/>
    <w:rsid w:val="5976348A"/>
    <w:rsid w:val="59835F75"/>
    <w:rsid w:val="598A1B97"/>
    <w:rsid w:val="59A8766A"/>
    <w:rsid w:val="59BB5DF4"/>
    <w:rsid w:val="59F438C7"/>
    <w:rsid w:val="59FB7D2C"/>
    <w:rsid w:val="5A2C7FF6"/>
    <w:rsid w:val="5A35296A"/>
    <w:rsid w:val="5A626BF7"/>
    <w:rsid w:val="5ABF7889"/>
    <w:rsid w:val="5ACA0880"/>
    <w:rsid w:val="5AEC5D6B"/>
    <w:rsid w:val="5B05040A"/>
    <w:rsid w:val="5B17524C"/>
    <w:rsid w:val="5B530B81"/>
    <w:rsid w:val="5B5A43D2"/>
    <w:rsid w:val="5B6202AD"/>
    <w:rsid w:val="5B6A0214"/>
    <w:rsid w:val="5B6A078A"/>
    <w:rsid w:val="5B725AC7"/>
    <w:rsid w:val="5B7D66A9"/>
    <w:rsid w:val="5B7F6419"/>
    <w:rsid w:val="5B827C48"/>
    <w:rsid w:val="5B8B15FE"/>
    <w:rsid w:val="5BAC00C5"/>
    <w:rsid w:val="5BB03FDE"/>
    <w:rsid w:val="5BEC6454"/>
    <w:rsid w:val="5BF36CFF"/>
    <w:rsid w:val="5C003D71"/>
    <w:rsid w:val="5C62594C"/>
    <w:rsid w:val="5C814268"/>
    <w:rsid w:val="5C86422F"/>
    <w:rsid w:val="5CBD6243"/>
    <w:rsid w:val="5CEB1947"/>
    <w:rsid w:val="5CFB35C0"/>
    <w:rsid w:val="5CFE0B84"/>
    <w:rsid w:val="5D107DC0"/>
    <w:rsid w:val="5D2A2F13"/>
    <w:rsid w:val="5D2D4F79"/>
    <w:rsid w:val="5D626994"/>
    <w:rsid w:val="5D880F63"/>
    <w:rsid w:val="5DA455A5"/>
    <w:rsid w:val="5DAC00DF"/>
    <w:rsid w:val="5DAF1081"/>
    <w:rsid w:val="5DB07439"/>
    <w:rsid w:val="5DC4160C"/>
    <w:rsid w:val="5DCE69CD"/>
    <w:rsid w:val="5DCF2EB6"/>
    <w:rsid w:val="5DF5356B"/>
    <w:rsid w:val="5E0B0FBC"/>
    <w:rsid w:val="5E0B226E"/>
    <w:rsid w:val="5E4B0CBE"/>
    <w:rsid w:val="5E773F6F"/>
    <w:rsid w:val="5E7D14CB"/>
    <w:rsid w:val="5E84241E"/>
    <w:rsid w:val="5E9616E7"/>
    <w:rsid w:val="5E982EE0"/>
    <w:rsid w:val="5EB714AD"/>
    <w:rsid w:val="5EDE105F"/>
    <w:rsid w:val="5F37360D"/>
    <w:rsid w:val="5F49229E"/>
    <w:rsid w:val="5F61731D"/>
    <w:rsid w:val="5F684F25"/>
    <w:rsid w:val="5F6E48EF"/>
    <w:rsid w:val="5F7073BF"/>
    <w:rsid w:val="5F760A23"/>
    <w:rsid w:val="5F795C16"/>
    <w:rsid w:val="5F817211"/>
    <w:rsid w:val="5F914557"/>
    <w:rsid w:val="5FA66240"/>
    <w:rsid w:val="5FC554F9"/>
    <w:rsid w:val="5FC6028B"/>
    <w:rsid w:val="5FCB6C9D"/>
    <w:rsid w:val="5FDF438C"/>
    <w:rsid w:val="5FED4422"/>
    <w:rsid w:val="600F3C6C"/>
    <w:rsid w:val="603431AE"/>
    <w:rsid w:val="604A6D49"/>
    <w:rsid w:val="60645F1B"/>
    <w:rsid w:val="60AB0DF5"/>
    <w:rsid w:val="60C61CEC"/>
    <w:rsid w:val="60D7093C"/>
    <w:rsid w:val="60EC2501"/>
    <w:rsid w:val="60EF79BC"/>
    <w:rsid w:val="60F87F31"/>
    <w:rsid w:val="61104A26"/>
    <w:rsid w:val="61240A21"/>
    <w:rsid w:val="61374820"/>
    <w:rsid w:val="61471A2E"/>
    <w:rsid w:val="6148017D"/>
    <w:rsid w:val="614A0AA6"/>
    <w:rsid w:val="616022A7"/>
    <w:rsid w:val="61807D53"/>
    <w:rsid w:val="6199549E"/>
    <w:rsid w:val="61DD4B30"/>
    <w:rsid w:val="62405901"/>
    <w:rsid w:val="626A0712"/>
    <w:rsid w:val="62990AE3"/>
    <w:rsid w:val="62E658D4"/>
    <w:rsid w:val="63586784"/>
    <w:rsid w:val="6371469D"/>
    <w:rsid w:val="63750C45"/>
    <w:rsid w:val="6384606B"/>
    <w:rsid w:val="63916F28"/>
    <w:rsid w:val="642549B8"/>
    <w:rsid w:val="642678DA"/>
    <w:rsid w:val="643B0262"/>
    <w:rsid w:val="6443661D"/>
    <w:rsid w:val="64814DC1"/>
    <w:rsid w:val="651B5E29"/>
    <w:rsid w:val="65220114"/>
    <w:rsid w:val="652D0934"/>
    <w:rsid w:val="652F3D17"/>
    <w:rsid w:val="653063AB"/>
    <w:rsid w:val="6536207A"/>
    <w:rsid w:val="65B473BF"/>
    <w:rsid w:val="65EF0909"/>
    <w:rsid w:val="65FE13CB"/>
    <w:rsid w:val="66130CF9"/>
    <w:rsid w:val="66345BE8"/>
    <w:rsid w:val="66365C97"/>
    <w:rsid w:val="667A6F0C"/>
    <w:rsid w:val="668460E0"/>
    <w:rsid w:val="669E44D1"/>
    <w:rsid w:val="66BC5967"/>
    <w:rsid w:val="66CD7E07"/>
    <w:rsid w:val="66CE14BB"/>
    <w:rsid w:val="66F37FC3"/>
    <w:rsid w:val="670E0CB6"/>
    <w:rsid w:val="67113266"/>
    <w:rsid w:val="675E17FD"/>
    <w:rsid w:val="676E458A"/>
    <w:rsid w:val="67DE5F73"/>
    <w:rsid w:val="68026E74"/>
    <w:rsid w:val="680B110A"/>
    <w:rsid w:val="6826276A"/>
    <w:rsid w:val="683D512D"/>
    <w:rsid w:val="684D472B"/>
    <w:rsid w:val="686E5BB4"/>
    <w:rsid w:val="68A62B31"/>
    <w:rsid w:val="68BE5593"/>
    <w:rsid w:val="68F631D5"/>
    <w:rsid w:val="691124A6"/>
    <w:rsid w:val="692D4180"/>
    <w:rsid w:val="694C5544"/>
    <w:rsid w:val="696A7D45"/>
    <w:rsid w:val="698B1EAA"/>
    <w:rsid w:val="6991300A"/>
    <w:rsid w:val="69B11567"/>
    <w:rsid w:val="6A0B7CAC"/>
    <w:rsid w:val="6A3F4B44"/>
    <w:rsid w:val="6A767940"/>
    <w:rsid w:val="6A8702CE"/>
    <w:rsid w:val="6A96278C"/>
    <w:rsid w:val="6AAB6638"/>
    <w:rsid w:val="6AB3586A"/>
    <w:rsid w:val="6ADB3CEE"/>
    <w:rsid w:val="6AEC7FA6"/>
    <w:rsid w:val="6B015D49"/>
    <w:rsid w:val="6B4A06B0"/>
    <w:rsid w:val="6B526AFF"/>
    <w:rsid w:val="6B547775"/>
    <w:rsid w:val="6B8C5DC0"/>
    <w:rsid w:val="6B926804"/>
    <w:rsid w:val="6BD85211"/>
    <w:rsid w:val="6BE1256C"/>
    <w:rsid w:val="6BEA4587"/>
    <w:rsid w:val="6BF17577"/>
    <w:rsid w:val="6BF302FF"/>
    <w:rsid w:val="6BFF58F6"/>
    <w:rsid w:val="6C1A0D74"/>
    <w:rsid w:val="6C22550C"/>
    <w:rsid w:val="6C6626E3"/>
    <w:rsid w:val="6C662C4E"/>
    <w:rsid w:val="6C6E2AEC"/>
    <w:rsid w:val="6C762D8F"/>
    <w:rsid w:val="6CB96FFB"/>
    <w:rsid w:val="6CBE1C6F"/>
    <w:rsid w:val="6CDB2174"/>
    <w:rsid w:val="6CF62758"/>
    <w:rsid w:val="6D3163D3"/>
    <w:rsid w:val="6D34441D"/>
    <w:rsid w:val="6D3B47A6"/>
    <w:rsid w:val="6D483DE7"/>
    <w:rsid w:val="6D4E7533"/>
    <w:rsid w:val="6D7664AF"/>
    <w:rsid w:val="6D8C5F9F"/>
    <w:rsid w:val="6D8F609F"/>
    <w:rsid w:val="6DCE79C6"/>
    <w:rsid w:val="6DF47F72"/>
    <w:rsid w:val="6E093526"/>
    <w:rsid w:val="6E0B43ED"/>
    <w:rsid w:val="6E1B3F67"/>
    <w:rsid w:val="6E202BC7"/>
    <w:rsid w:val="6E690C17"/>
    <w:rsid w:val="6E9E6DE2"/>
    <w:rsid w:val="6EB47DBF"/>
    <w:rsid w:val="6ECC2F07"/>
    <w:rsid w:val="6EE06106"/>
    <w:rsid w:val="6F655E08"/>
    <w:rsid w:val="6F9E422F"/>
    <w:rsid w:val="6F9F02B2"/>
    <w:rsid w:val="6FC27461"/>
    <w:rsid w:val="6FC71D13"/>
    <w:rsid w:val="6FDF692D"/>
    <w:rsid w:val="70004EC4"/>
    <w:rsid w:val="70054296"/>
    <w:rsid w:val="708176D1"/>
    <w:rsid w:val="70D03517"/>
    <w:rsid w:val="70D46B74"/>
    <w:rsid w:val="70E43CE1"/>
    <w:rsid w:val="710F1327"/>
    <w:rsid w:val="71273FA1"/>
    <w:rsid w:val="715F3DE9"/>
    <w:rsid w:val="71A34F9A"/>
    <w:rsid w:val="72245008"/>
    <w:rsid w:val="7224755A"/>
    <w:rsid w:val="72346A12"/>
    <w:rsid w:val="72537A2C"/>
    <w:rsid w:val="727A5785"/>
    <w:rsid w:val="72A539E6"/>
    <w:rsid w:val="730048C9"/>
    <w:rsid w:val="731A55B0"/>
    <w:rsid w:val="73511E13"/>
    <w:rsid w:val="738E738B"/>
    <w:rsid w:val="73A159D5"/>
    <w:rsid w:val="73EB2712"/>
    <w:rsid w:val="73FD4900"/>
    <w:rsid w:val="744317E0"/>
    <w:rsid w:val="74450F3F"/>
    <w:rsid w:val="745665A3"/>
    <w:rsid w:val="746F221E"/>
    <w:rsid w:val="746F4466"/>
    <w:rsid w:val="74711172"/>
    <w:rsid w:val="74BE27A9"/>
    <w:rsid w:val="74C306D0"/>
    <w:rsid w:val="752141B2"/>
    <w:rsid w:val="756273A8"/>
    <w:rsid w:val="756375D4"/>
    <w:rsid w:val="75800318"/>
    <w:rsid w:val="758B51E5"/>
    <w:rsid w:val="7594786A"/>
    <w:rsid w:val="75952B4B"/>
    <w:rsid w:val="75A91B7B"/>
    <w:rsid w:val="75F3613A"/>
    <w:rsid w:val="75F46F2C"/>
    <w:rsid w:val="76087A16"/>
    <w:rsid w:val="763F7892"/>
    <w:rsid w:val="7674730B"/>
    <w:rsid w:val="7683775D"/>
    <w:rsid w:val="76C30678"/>
    <w:rsid w:val="76F06858"/>
    <w:rsid w:val="7713302C"/>
    <w:rsid w:val="77136A2D"/>
    <w:rsid w:val="773F00B5"/>
    <w:rsid w:val="776F655D"/>
    <w:rsid w:val="778911F3"/>
    <w:rsid w:val="778F6DA7"/>
    <w:rsid w:val="77991202"/>
    <w:rsid w:val="77A271B3"/>
    <w:rsid w:val="77AD1753"/>
    <w:rsid w:val="77AF5682"/>
    <w:rsid w:val="77CB5AC9"/>
    <w:rsid w:val="78194131"/>
    <w:rsid w:val="782112B1"/>
    <w:rsid w:val="782C408D"/>
    <w:rsid w:val="7879346A"/>
    <w:rsid w:val="78BE4335"/>
    <w:rsid w:val="78C651E8"/>
    <w:rsid w:val="78C718E2"/>
    <w:rsid w:val="78DB0A49"/>
    <w:rsid w:val="78F2466F"/>
    <w:rsid w:val="79132357"/>
    <w:rsid w:val="792B1401"/>
    <w:rsid w:val="793C03C5"/>
    <w:rsid w:val="79474056"/>
    <w:rsid w:val="79650D4B"/>
    <w:rsid w:val="79845813"/>
    <w:rsid w:val="79BB424A"/>
    <w:rsid w:val="79C40F42"/>
    <w:rsid w:val="79C91C92"/>
    <w:rsid w:val="79CE6679"/>
    <w:rsid w:val="7A0B5E51"/>
    <w:rsid w:val="7A110017"/>
    <w:rsid w:val="7A343FE5"/>
    <w:rsid w:val="7A557FF1"/>
    <w:rsid w:val="7A5D0C82"/>
    <w:rsid w:val="7AA349F6"/>
    <w:rsid w:val="7ACD61FF"/>
    <w:rsid w:val="7B2F5EA3"/>
    <w:rsid w:val="7B4F0952"/>
    <w:rsid w:val="7B5C4060"/>
    <w:rsid w:val="7BB33E9C"/>
    <w:rsid w:val="7BB61BF2"/>
    <w:rsid w:val="7BCC7612"/>
    <w:rsid w:val="7BD63BC4"/>
    <w:rsid w:val="7BE01F2B"/>
    <w:rsid w:val="7BF13B58"/>
    <w:rsid w:val="7C1C212F"/>
    <w:rsid w:val="7C2A1290"/>
    <w:rsid w:val="7C5108ED"/>
    <w:rsid w:val="7C637794"/>
    <w:rsid w:val="7C872DCE"/>
    <w:rsid w:val="7C8D4593"/>
    <w:rsid w:val="7C9C6253"/>
    <w:rsid w:val="7CA22103"/>
    <w:rsid w:val="7CAA158F"/>
    <w:rsid w:val="7CC54136"/>
    <w:rsid w:val="7CFF4D5A"/>
    <w:rsid w:val="7D1F324E"/>
    <w:rsid w:val="7D300344"/>
    <w:rsid w:val="7D340618"/>
    <w:rsid w:val="7D7410DF"/>
    <w:rsid w:val="7D812EA1"/>
    <w:rsid w:val="7D8D0E31"/>
    <w:rsid w:val="7D90016A"/>
    <w:rsid w:val="7D9508F0"/>
    <w:rsid w:val="7DA80BC8"/>
    <w:rsid w:val="7DAC507A"/>
    <w:rsid w:val="7DBE0AFF"/>
    <w:rsid w:val="7DC01F88"/>
    <w:rsid w:val="7DD16438"/>
    <w:rsid w:val="7DEB0C97"/>
    <w:rsid w:val="7DFE509D"/>
    <w:rsid w:val="7E05110C"/>
    <w:rsid w:val="7E102E1B"/>
    <w:rsid w:val="7E2B7079"/>
    <w:rsid w:val="7E306B12"/>
    <w:rsid w:val="7E3C241E"/>
    <w:rsid w:val="7E5019F3"/>
    <w:rsid w:val="7E6C1950"/>
    <w:rsid w:val="7E6C4CC3"/>
    <w:rsid w:val="7E8A5090"/>
    <w:rsid w:val="7EA05EF0"/>
    <w:rsid w:val="7ED1562A"/>
    <w:rsid w:val="7F0238CB"/>
    <w:rsid w:val="7F09056F"/>
    <w:rsid w:val="7F100237"/>
    <w:rsid w:val="7F4740EE"/>
    <w:rsid w:val="7FB02405"/>
    <w:rsid w:val="7FB47FBA"/>
    <w:rsid w:val="7FC84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 w:val="21"/>
    </w:rPr>
  </w:style>
  <w:style w:type="paragraph" w:styleId="3">
    <w:name w:val="Body Text Indent"/>
    <w:basedOn w:val="1"/>
    <w:next w:val="4"/>
    <w:link w:val="36"/>
    <w:qFormat/>
    <w:uiPriority w:val="0"/>
    <w:pPr>
      <w:spacing w:line="400" w:lineRule="exact"/>
      <w:ind w:firstLine="515"/>
    </w:pPr>
    <w:rPr>
      <w:rFonts w:ascii="楷体_GB2312" w:eastAsia="楷体_GB2312"/>
      <w:b/>
      <w:bCs/>
      <w:kern w:val="0"/>
      <w:sz w:val="24"/>
    </w:rPr>
  </w:style>
  <w:style w:type="paragraph" w:styleId="4">
    <w:name w:val="envelope return"/>
    <w:basedOn w:val="1"/>
    <w:qFormat/>
    <w:uiPriority w:val="0"/>
    <w:pPr>
      <w:snapToGrid w:val="0"/>
    </w:pPr>
    <w:rPr>
      <w:rFonts w:ascii="Arial" w:hAnsi="Arial"/>
    </w:rPr>
  </w:style>
  <w:style w:type="paragraph" w:styleId="6">
    <w:name w:val="Document Map"/>
    <w:basedOn w:val="1"/>
    <w:link w:val="34"/>
    <w:qFormat/>
    <w:uiPriority w:val="0"/>
    <w:pPr>
      <w:shd w:val="clear" w:color="auto" w:fill="000080"/>
    </w:pPr>
    <w:rPr>
      <w:kern w:val="0"/>
      <w:sz w:val="20"/>
    </w:rPr>
  </w:style>
  <w:style w:type="paragraph" w:styleId="7">
    <w:name w:val="annotation text"/>
    <w:basedOn w:val="1"/>
    <w:qFormat/>
    <w:uiPriority w:val="0"/>
    <w:pPr>
      <w:jc w:val="left"/>
    </w:pPr>
  </w:style>
  <w:style w:type="paragraph" w:styleId="8">
    <w:name w:val="Body Text"/>
    <w:basedOn w:val="1"/>
    <w:link w:val="29"/>
    <w:qFormat/>
    <w:uiPriority w:val="0"/>
    <w:pPr>
      <w:spacing w:after="120"/>
    </w:pPr>
    <w:rPr>
      <w:rFonts w:asciiTheme="minorHAnsi" w:hAnsiTheme="minorHAnsi" w:eastAsiaTheme="minorEastAsia" w:cstheme="minorBidi"/>
    </w:rPr>
  </w:style>
  <w:style w:type="paragraph" w:styleId="9">
    <w:name w:val="Plain Text"/>
    <w:basedOn w:val="1"/>
    <w:link w:val="35"/>
    <w:qFormat/>
    <w:uiPriority w:val="0"/>
    <w:rPr>
      <w:rFonts w:ascii="宋体" w:hAnsi="Courier New"/>
      <w:kern w:val="0"/>
      <w:sz w:val="20"/>
      <w:szCs w:val="21"/>
    </w:rPr>
  </w:style>
  <w:style w:type="paragraph" w:styleId="10">
    <w:name w:val="Date"/>
    <w:basedOn w:val="1"/>
    <w:next w:val="1"/>
    <w:link w:val="30"/>
    <w:qFormat/>
    <w:uiPriority w:val="0"/>
    <w:pPr>
      <w:ind w:left="100" w:leftChars="2500"/>
    </w:pPr>
    <w:rPr>
      <w:kern w:val="0"/>
      <w:sz w:val="28"/>
    </w:rPr>
  </w:style>
  <w:style w:type="paragraph" w:styleId="11">
    <w:name w:val="Body Text Indent 2"/>
    <w:basedOn w:val="1"/>
    <w:link w:val="33"/>
    <w:qFormat/>
    <w:uiPriority w:val="0"/>
    <w:pPr>
      <w:spacing w:line="400" w:lineRule="exact"/>
      <w:ind w:left="-1" w:firstLine="480" w:firstLineChars="200"/>
    </w:pPr>
    <w:rPr>
      <w:rFonts w:ascii="楷体_GB2312" w:eastAsia="楷体_GB2312"/>
      <w:kern w:val="0"/>
      <w:sz w:val="24"/>
    </w:rPr>
  </w:style>
  <w:style w:type="paragraph" w:styleId="12">
    <w:name w:val="Balloon Text"/>
    <w:basedOn w:val="1"/>
    <w:link w:val="31"/>
    <w:qFormat/>
    <w:uiPriority w:val="0"/>
    <w:rPr>
      <w:kern w:val="0"/>
      <w:sz w:val="18"/>
      <w:szCs w:val="18"/>
    </w:r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99"/>
    <w:pPr>
      <w:tabs>
        <w:tab w:val="center" w:pos="4153"/>
        <w:tab w:val="right" w:pos="8306"/>
      </w:tabs>
      <w:snapToGrid w:val="0"/>
      <w:jc w:val="center"/>
    </w:pPr>
    <w:rPr>
      <w:sz w:val="18"/>
      <w:szCs w:val="18"/>
    </w:rPr>
  </w:style>
  <w:style w:type="paragraph" w:styleId="15">
    <w:name w:val="Body Text Indent 3"/>
    <w:basedOn w:val="1"/>
    <w:link w:val="37"/>
    <w:qFormat/>
    <w:uiPriority w:val="0"/>
    <w:pPr>
      <w:spacing w:line="440" w:lineRule="exact"/>
      <w:ind w:firstLine="540"/>
    </w:pPr>
    <w:rPr>
      <w:rFonts w:ascii="楷体_GB2312" w:eastAsia="楷体_GB2312"/>
      <w:bCs/>
      <w:kern w:val="0"/>
      <w:sz w:val="24"/>
    </w:rPr>
  </w:style>
  <w:style w:type="paragraph" w:styleId="16">
    <w:name w:val="HTML Preformatted"/>
    <w:basedOn w:val="1"/>
    <w:link w:val="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page number"/>
    <w:basedOn w:val="20"/>
    <w:qFormat/>
    <w:uiPriority w:val="0"/>
  </w:style>
  <w:style w:type="character" w:styleId="22">
    <w:name w:val="FollowedHyperlink"/>
    <w:basedOn w:val="20"/>
    <w:qFormat/>
    <w:uiPriority w:val="0"/>
    <w:rPr>
      <w:color w:val="555555"/>
      <w:u w:val="none"/>
    </w:rPr>
  </w:style>
  <w:style w:type="character" w:styleId="23">
    <w:name w:val="Hyperlink"/>
    <w:basedOn w:val="20"/>
    <w:qFormat/>
    <w:uiPriority w:val="0"/>
    <w:rPr>
      <w:color w:val="555555"/>
      <w:u w:val="none"/>
    </w:rPr>
  </w:style>
  <w:style w:type="character" w:styleId="24">
    <w:name w:val="annotation reference"/>
    <w:qFormat/>
    <w:uiPriority w:val="0"/>
    <w:rPr>
      <w:sz w:val="21"/>
      <w:szCs w:val="21"/>
    </w:rPr>
  </w:style>
  <w:style w:type="character" w:customStyle="1" w:styleId="25">
    <w:name w:val="页眉 字符"/>
    <w:basedOn w:val="20"/>
    <w:link w:val="14"/>
    <w:qFormat/>
    <w:uiPriority w:val="99"/>
    <w:rPr>
      <w:rFonts w:ascii="Times New Roman" w:hAnsi="Times New Roman" w:eastAsia="宋体" w:cs="Times New Roman"/>
      <w:sz w:val="18"/>
      <w:szCs w:val="18"/>
    </w:rPr>
  </w:style>
  <w:style w:type="character" w:customStyle="1" w:styleId="26">
    <w:name w:val="页脚 字符"/>
    <w:basedOn w:val="20"/>
    <w:link w:val="13"/>
    <w:qFormat/>
    <w:uiPriority w:val="99"/>
    <w:rPr>
      <w:sz w:val="18"/>
      <w:szCs w:val="18"/>
    </w:rPr>
  </w:style>
  <w:style w:type="character" w:customStyle="1" w:styleId="27">
    <w:name w:val="正文文本 Char"/>
    <w:qFormat/>
    <w:uiPriority w:val="0"/>
    <w:rPr>
      <w:szCs w:val="24"/>
    </w:rPr>
  </w:style>
  <w:style w:type="paragraph" w:styleId="28">
    <w:name w:val="List Paragraph"/>
    <w:basedOn w:val="1"/>
    <w:qFormat/>
    <w:uiPriority w:val="34"/>
    <w:pPr>
      <w:ind w:firstLine="420" w:firstLineChars="200"/>
    </w:pPr>
  </w:style>
  <w:style w:type="character" w:customStyle="1" w:styleId="29">
    <w:name w:val="正文文本 字符"/>
    <w:basedOn w:val="20"/>
    <w:link w:val="8"/>
    <w:semiHidden/>
    <w:qFormat/>
    <w:uiPriority w:val="99"/>
    <w:rPr>
      <w:rFonts w:ascii="Times New Roman" w:hAnsi="Times New Roman" w:eastAsia="宋体" w:cs="Times New Roman"/>
      <w:szCs w:val="24"/>
    </w:rPr>
  </w:style>
  <w:style w:type="character" w:customStyle="1" w:styleId="30">
    <w:name w:val="日期 字符"/>
    <w:basedOn w:val="20"/>
    <w:link w:val="10"/>
    <w:qFormat/>
    <w:uiPriority w:val="0"/>
    <w:rPr>
      <w:rFonts w:ascii="Times New Roman" w:hAnsi="Times New Roman" w:eastAsia="宋体" w:cs="Times New Roman"/>
      <w:kern w:val="0"/>
      <w:sz w:val="28"/>
      <w:szCs w:val="24"/>
    </w:rPr>
  </w:style>
  <w:style w:type="character" w:customStyle="1" w:styleId="31">
    <w:name w:val="批注框文本 字符"/>
    <w:basedOn w:val="20"/>
    <w:link w:val="12"/>
    <w:qFormat/>
    <w:uiPriority w:val="0"/>
    <w:rPr>
      <w:rFonts w:ascii="Times New Roman" w:hAnsi="Times New Roman" w:eastAsia="宋体" w:cs="Times New Roman"/>
      <w:kern w:val="0"/>
      <w:sz w:val="18"/>
      <w:szCs w:val="18"/>
    </w:rPr>
  </w:style>
  <w:style w:type="paragraph" w:customStyle="1" w:styleId="32">
    <w:name w:val="_Style 9"/>
    <w:basedOn w:val="1"/>
    <w:next w:val="9"/>
    <w:qFormat/>
    <w:uiPriority w:val="0"/>
    <w:rPr>
      <w:rFonts w:ascii="宋体" w:hAnsi="Courier New"/>
      <w:szCs w:val="21"/>
    </w:rPr>
  </w:style>
  <w:style w:type="character" w:customStyle="1" w:styleId="33">
    <w:name w:val="正文文本缩进 2 字符"/>
    <w:basedOn w:val="20"/>
    <w:link w:val="11"/>
    <w:qFormat/>
    <w:uiPriority w:val="0"/>
    <w:rPr>
      <w:rFonts w:ascii="楷体_GB2312" w:hAnsi="Times New Roman" w:eastAsia="楷体_GB2312" w:cs="Times New Roman"/>
      <w:kern w:val="0"/>
      <w:sz w:val="24"/>
      <w:szCs w:val="24"/>
    </w:rPr>
  </w:style>
  <w:style w:type="character" w:customStyle="1" w:styleId="34">
    <w:name w:val="文档结构图 字符"/>
    <w:basedOn w:val="20"/>
    <w:link w:val="6"/>
    <w:qFormat/>
    <w:uiPriority w:val="0"/>
    <w:rPr>
      <w:rFonts w:ascii="Times New Roman" w:hAnsi="Times New Roman" w:eastAsia="宋体" w:cs="Times New Roman"/>
      <w:kern w:val="0"/>
      <w:sz w:val="20"/>
      <w:szCs w:val="24"/>
      <w:shd w:val="clear" w:color="auto" w:fill="000080"/>
    </w:rPr>
  </w:style>
  <w:style w:type="character" w:customStyle="1" w:styleId="35">
    <w:name w:val="纯文本 字符"/>
    <w:basedOn w:val="20"/>
    <w:link w:val="9"/>
    <w:qFormat/>
    <w:uiPriority w:val="0"/>
    <w:rPr>
      <w:rFonts w:ascii="宋体" w:hAnsi="Courier New" w:eastAsia="宋体" w:cs="Times New Roman"/>
      <w:kern w:val="0"/>
      <w:sz w:val="20"/>
      <w:szCs w:val="21"/>
    </w:rPr>
  </w:style>
  <w:style w:type="character" w:customStyle="1" w:styleId="36">
    <w:name w:val="正文文本缩进 字符"/>
    <w:basedOn w:val="20"/>
    <w:link w:val="3"/>
    <w:qFormat/>
    <w:uiPriority w:val="0"/>
    <w:rPr>
      <w:rFonts w:ascii="楷体_GB2312" w:hAnsi="Times New Roman" w:eastAsia="楷体_GB2312" w:cs="Times New Roman"/>
      <w:b/>
      <w:bCs/>
      <w:kern w:val="0"/>
      <w:sz w:val="24"/>
      <w:szCs w:val="24"/>
    </w:rPr>
  </w:style>
  <w:style w:type="character" w:customStyle="1" w:styleId="37">
    <w:name w:val="正文文本缩进 3 字符"/>
    <w:basedOn w:val="20"/>
    <w:link w:val="15"/>
    <w:qFormat/>
    <w:uiPriority w:val="0"/>
    <w:rPr>
      <w:rFonts w:ascii="楷体_GB2312" w:hAnsi="Times New Roman" w:eastAsia="楷体_GB2312" w:cs="Times New Roman"/>
      <w:bCs/>
      <w:kern w:val="0"/>
      <w:sz w:val="24"/>
      <w:szCs w:val="24"/>
    </w:rPr>
  </w:style>
  <w:style w:type="character" w:customStyle="1" w:styleId="38">
    <w:name w:val="HTML 预设格式 字符"/>
    <w:basedOn w:val="20"/>
    <w:link w:val="16"/>
    <w:qFormat/>
    <w:uiPriority w:val="0"/>
    <w:rPr>
      <w:rFonts w:ascii="黑体" w:hAnsi="Courier New" w:eastAsia="黑体" w:cs="Times New Roman"/>
      <w:kern w:val="0"/>
      <w:sz w:val="20"/>
      <w:szCs w:val="20"/>
    </w:rPr>
  </w:style>
  <w:style w:type="paragraph" w:customStyle="1" w:styleId="39">
    <w:name w:val="Char Char Char7"/>
    <w:basedOn w:val="1"/>
    <w:qFormat/>
    <w:uiPriority w:val="0"/>
    <w:rPr>
      <w:rFonts w:ascii="仿宋_GB2312" w:eastAsia="仿宋_GB2312" w:cs="仿宋_GB2312"/>
      <w:b/>
      <w:bCs/>
      <w:sz w:val="32"/>
      <w:szCs w:val="32"/>
    </w:rPr>
  </w:style>
  <w:style w:type="paragraph" w:customStyle="1" w:styleId="4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1">
    <w:name w:val="font11"/>
    <w:basedOn w:val="20"/>
    <w:qFormat/>
    <w:uiPriority w:val="0"/>
    <w:rPr>
      <w:rFonts w:hint="eastAsia" w:ascii="宋体" w:hAnsi="宋体" w:eastAsia="宋体" w:cs="宋体"/>
      <w:color w:val="000000"/>
      <w:sz w:val="20"/>
      <w:szCs w:val="20"/>
      <w:u w:val="none"/>
    </w:rPr>
  </w:style>
  <w:style w:type="character" w:customStyle="1" w:styleId="42">
    <w:name w:val="font01"/>
    <w:basedOn w:val="20"/>
    <w:qFormat/>
    <w:uiPriority w:val="0"/>
    <w:rPr>
      <w:rFonts w:hint="eastAsia" w:ascii="宋体" w:hAnsi="宋体" w:eastAsia="宋体" w:cs="宋体"/>
      <w:color w:val="000000"/>
      <w:sz w:val="22"/>
      <w:szCs w:val="22"/>
      <w:u w:val="none"/>
    </w:rPr>
  </w:style>
  <w:style w:type="paragraph" w:customStyle="1" w:styleId="43">
    <w:name w:val="正文文本首行缩进 21"/>
    <w:basedOn w:val="44"/>
    <w:qFormat/>
    <w:uiPriority w:val="0"/>
    <w:pPr>
      <w:spacing w:after="120" w:line="240" w:lineRule="auto"/>
      <w:ind w:left="420" w:leftChars="200" w:firstLine="420" w:firstLineChars="200"/>
    </w:pPr>
    <w:rPr>
      <w:sz w:val="21"/>
    </w:rPr>
  </w:style>
  <w:style w:type="paragraph" w:customStyle="1" w:styleId="44">
    <w:name w:val="正文文本缩进1"/>
    <w:basedOn w:val="1"/>
    <w:next w:val="45"/>
    <w:qFormat/>
    <w:uiPriority w:val="0"/>
    <w:pPr>
      <w:spacing w:line="400" w:lineRule="exact"/>
      <w:ind w:firstLine="515"/>
    </w:pPr>
    <w:rPr>
      <w:rFonts w:ascii="楷体_GB2312" w:eastAsia="楷体_GB2312"/>
      <w:b/>
      <w:bCs/>
      <w:kern w:val="0"/>
      <w:sz w:val="24"/>
    </w:rPr>
  </w:style>
  <w:style w:type="paragraph" w:customStyle="1" w:styleId="45">
    <w:name w:val="寄信人地址1"/>
    <w:basedOn w:val="1"/>
    <w:qFormat/>
    <w:uiPriority w:val="0"/>
    <w:pPr>
      <w:snapToGrid w:val="0"/>
    </w:pPr>
    <w:rPr>
      <w:rFonts w:ascii="Arial" w:hAnsi="Arial"/>
    </w:rPr>
  </w:style>
  <w:style w:type="character" w:customStyle="1" w:styleId="46">
    <w:name w:val="font31"/>
    <w:basedOn w:val="20"/>
    <w:qFormat/>
    <w:uiPriority w:val="0"/>
    <w:rPr>
      <w:rFonts w:hint="eastAsia" w:ascii="宋体" w:hAnsi="宋体" w:eastAsia="宋体" w:cs="宋体"/>
      <w:color w:val="000000"/>
      <w:sz w:val="22"/>
      <w:szCs w:val="22"/>
      <w:u w:val="none"/>
    </w:rPr>
  </w:style>
  <w:style w:type="character" w:customStyle="1" w:styleId="47">
    <w:name w:val="font21"/>
    <w:basedOn w:val="20"/>
    <w:qFormat/>
    <w:uiPriority w:val="0"/>
    <w:rPr>
      <w:rFonts w:hint="eastAsia" w:ascii="楷体" w:hAnsi="楷体" w:eastAsia="楷体" w:cs="楷体"/>
      <w:color w:val="000000"/>
      <w:sz w:val="17"/>
      <w:szCs w:val="17"/>
      <w:u w:val="none"/>
    </w:rPr>
  </w:style>
  <w:style w:type="character" w:customStyle="1" w:styleId="48">
    <w:name w:val="font41"/>
    <w:basedOn w:val="20"/>
    <w:qFormat/>
    <w:uiPriority w:val="0"/>
    <w:rPr>
      <w:rFonts w:ascii="Arial" w:hAnsi="Arial" w:cs="Arial"/>
      <w:color w:val="000000"/>
      <w:sz w:val="18"/>
      <w:szCs w:val="18"/>
      <w:u w:val="none"/>
    </w:rPr>
  </w:style>
  <w:style w:type="character" w:customStyle="1" w:styleId="49">
    <w:name w:val="font51"/>
    <w:basedOn w:val="20"/>
    <w:qFormat/>
    <w:uiPriority w:val="0"/>
    <w:rPr>
      <w:rFonts w:hint="eastAsia" w:ascii="宋体" w:hAnsi="宋体" w:eastAsia="宋体" w:cs="宋体"/>
      <w:color w:val="000000"/>
      <w:sz w:val="18"/>
      <w:szCs w:val="18"/>
      <w:u w:val="none"/>
    </w:rPr>
  </w:style>
  <w:style w:type="character" w:customStyle="1" w:styleId="50">
    <w:name w:val="font101"/>
    <w:basedOn w:val="20"/>
    <w:qFormat/>
    <w:uiPriority w:val="0"/>
    <w:rPr>
      <w:rFonts w:hint="eastAsia" w:ascii="宋体" w:hAnsi="宋体" w:eastAsia="宋体" w:cs="宋体"/>
      <w:color w:val="000000"/>
      <w:sz w:val="16"/>
      <w:szCs w:val="16"/>
      <w:u w:val="none"/>
    </w:rPr>
  </w:style>
  <w:style w:type="character" w:customStyle="1" w:styleId="51">
    <w:name w:val="font111"/>
    <w:basedOn w:val="20"/>
    <w:qFormat/>
    <w:uiPriority w:val="0"/>
    <w:rPr>
      <w:rFonts w:hint="default" w:ascii="Arial" w:hAnsi="Arial" w:cs="Arial"/>
      <w:color w:val="000000"/>
      <w:sz w:val="16"/>
      <w:szCs w:val="16"/>
      <w:u w:val="none"/>
    </w:rPr>
  </w:style>
  <w:style w:type="character" w:customStyle="1" w:styleId="52">
    <w:name w:val="font71"/>
    <w:basedOn w:val="20"/>
    <w:qFormat/>
    <w:uiPriority w:val="0"/>
    <w:rPr>
      <w:rFonts w:hint="eastAsia" w:ascii="楷体" w:hAnsi="楷体" w:eastAsia="楷体" w:cs="楷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7AC1C7-04B2-4E11-BE9D-49DC9160024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47</Pages>
  <Words>4778</Words>
  <Characters>27238</Characters>
  <Lines>226</Lines>
  <Paragraphs>63</Paragraphs>
  <TotalTime>2</TotalTime>
  <ScaleCrop>false</ScaleCrop>
  <LinksUpToDate>false</LinksUpToDate>
  <CharactersWithSpaces>31953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2017-02-27T08:39:00Z</dcterms:created>
  <dc:creator>User</dc:creator>
  <cp:lastModifiedBy>赵萌</cp:lastModifiedBy>
  <cp:lastPrinted>2020-07-24T01:24:00Z</cp:lastPrinted>
  <dcterms:modified xsi:type="dcterms:W3CDTF">2020-11-12T08:46:36Z</dcterms:modified>
  <cp:revision>432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