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7"/>
          <w:rFonts w:hint="eastAsia" w:ascii="宋体" w:hAnsi="宋体" w:eastAsia="宋体" w:cs="宋体"/>
          <w:color w:val="auto"/>
          <w:sz w:val="36"/>
          <w:szCs w:val="21"/>
        </w:rPr>
      </w:pPr>
    </w:p>
    <w:p>
      <w:pPr>
        <w:rPr>
          <w:rStyle w:val="47"/>
          <w:rFonts w:hint="eastAsia" w:ascii="宋体" w:hAnsi="宋体" w:eastAsia="宋体" w:cs="宋体"/>
          <w:color w:val="auto"/>
          <w:sz w:val="36"/>
        </w:rPr>
      </w:pPr>
    </w:p>
    <w:p>
      <w:pPr>
        <w:jc w:val="center"/>
        <w:rPr>
          <w:rStyle w:val="47"/>
          <w:rFonts w:hint="eastAsia" w:ascii="宋体" w:hAnsi="宋体" w:eastAsia="宋体" w:cs="宋体"/>
          <w:b/>
          <w:color w:val="auto"/>
          <w:sz w:val="84"/>
        </w:rPr>
      </w:pPr>
      <w:r>
        <w:rPr>
          <w:rStyle w:val="47"/>
          <w:rFonts w:hint="eastAsia" w:ascii="宋体" w:hAnsi="宋体" w:eastAsia="宋体" w:cs="宋体"/>
          <w:b/>
          <w:color w:val="auto"/>
          <w:sz w:val="84"/>
        </w:rPr>
        <w:t>招 标 文 件</w:t>
      </w:r>
    </w:p>
    <w:p>
      <w:pPr>
        <w:rPr>
          <w:rStyle w:val="47"/>
          <w:rFonts w:hint="eastAsia" w:ascii="宋体" w:hAnsi="宋体" w:eastAsia="宋体" w:cs="宋体"/>
          <w:b/>
          <w:color w:val="auto"/>
          <w:sz w:val="32"/>
        </w:rPr>
      </w:pPr>
    </w:p>
    <w:p>
      <w:pPr>
        <w:jc w:val="center"/>
        <w:rPr>
          <w:rStyle w:val="47"/>
          <w:rFonts w:hint="eastAsia" w:ascii="宋体" w:hAnsi="宋体" w:eastAsia="宋体" w:cs="宋体"/>
          <w:b/>
          <w:color w:val="auto"/>
          <w:sz w:val="32"/>
        </w:rPr>
      </w:pPr>
    </w:p>
    <w:p>
      <w:pPr>
        <w:pStyle w:val="2"/>
        <w:rPr>
          <w:rFonts w:hint="eastAsia" w:ascii="宋体" w:hAnsi="宋体" w:eastAsia="宋体" w:cs="宋体"/>
          <w:color w:val="auto"/>
        </w:rPr>
      </w:pPr>
    </w:p>
    <w:p>
      <w:pPr>
        <w:jc w:val="center"/>
        <w:rPr>
          <w:rStyle w:val="47"/>
          <w:rFonts w:hint="eastAsia" w:ascii="宋体" w:hAnsi="宋体" w:eastAsia="宋体" w:cs="宋体"/>
          <w:b/>
          <w:color w:val="auto"/>
          <w:sz w:val="32"/>
        </w:rPr>
      </w:pPr>
    </w:p>
    <w:p>
      <w:pPr>
        <w:jc w:val="center"/>
        <w:rPr>
          <w:rStyle w:val="47"/>
          <w:rFonts w:hint="eastAsia" w:ascii="宋体" w:hAnsi="宋体" w:eastAsia="宋体" w:cs="宋体"/>
          <w:b/>
          <w:color w:val="auto"/>
          <w:sz w:val="32"/>
        </w:rPr>
      </w:pPr>
    </w:p>
    <w:p>
      <w:pPr>
        <w:ind w:firstLine="723" w:firstLineChars="200"/>
        <w:rPr>
          <w:rStyle w:val="47"/>
          <w:rFonts w:hint="eastAsia" w:ascii="宋体" w:hAnsi="宋体" w:eastAsia="宋体" w:cs="宋体"/>
          <w:b/>
          <w:color w:val="auto"/>
          <w:sz w:val="36"/>
        </w:rPr>
      </w:pPr>
      <w:r>
        <w:rPr>
          <w:rStyle w:val="47"/>
          <w:rFonts w:hint="eastAsia" w:ascii="宋体" w:hAnsi="宋体" w:eastAsia="宋体" w:cs="宋体"/>
          <w:b/>
          <w:color w:val="auto"/>
          <w:sz w:val="36"/>
        </w:rPr>
        <w:t>项目编号：2022-000W</w:t>
      </w:r>
    </w:p>
    <w:p>
      <w:pPr>
        <w:jc w:val="center"/>
        <w:rPr>
          <w:rStyle w:val="47"/>
          <w:rFonts w:hint="eastAsia" w:ascii="宋体" w:hAnsi="宋体" w:eastAsia="宋体" w:cs="宋体"/>
          <w:b/>
          <w:color w:val="auto"/>
          <w:sz w:val="32"/>
        </w:rPr>
      </w:pPr>
    </w:p>
    <w:p>
      <w:pPr>
        <w:jc w:val="center"/>
        <w:rPr>
          <w:rStyle w:val="47"/>
          <w:rFonts w:hint="eastAsia" w:ascii="宋体" w:hAnsi="宋体" w:eastAsia="宋体" w:cs="宋体"/>
          <w:b/>
          <w:color w:val="auto"/>
          <w:sz w:val="32"/>
        </w:rPr>
      </w:pPr>
    </w:p>
    <w:p>
      <w:pPr>
        <w:ind w:left="2525" w:leftChars="342" w:hanging="1807" w:hangingChars="500"/>
        <w:rPr>
          <w:rStyle w:val="47"/>
          <w:rFonts w:hint="eastAsia" w:ascii="宋体" w:hAnsi="宋体" w:eastAsia="宋体" w:cs="宋体"/>
          <w:b/>
          <w:color w:val="auto"/>
          <w:sz w:val="30"/>
          <w:szCs w:val="30"/>
        </w:rPr>
      </w:pPr>
      <w:r>
        <w:rPr>
          <w:rStyle w:val="47"/>
          <w:rFonts w:hint="eastAsia" w:ascii="宋体" w:hAnsi="宋体" w:eastAsia="宋体" w:cs="宋体"/>
          <w:b/>
          <w:color w:val="auto"/>
          <w:sz w:val="36"/>
          <w:szCs w:val="36"/>
        </w:rPr>
        <w:t>项目名称：盐城工业职业技术学院安防监控</w:t>
      </w:r>
    </w:p>
    <w:p>
      <w:pPr>
        <w:pStyle w:val="2"/>
        <w:ind w:firstLine="0" w:firstLineChars="0"/>
        <w:rPr>
          <w:rStyle w:val="47"/>
          <w:rFonts w:hint="eastAsia" w:ascii="宋体" w:hAnsi="宋体" w:eastAsia="宋体" w:cs="宋体"/>
          <w:b/>
          <w:color w:val="auto"/>
          <w:sz w:val="32"/>
          <w:szCs w:val="21"/>
        </w:rPr>
      </w:pPr>
    </w:p>
    <w:p>
      <w:pPr>
        <w:pStyle w:val="2"/>
        <w:ind w:firstLine="643"/>
        <w:rPr>
          <w:rStyle w:val="47"/>
          <w:rFonts w:hint="eastAsia" w:ascii="宋体" w:hAnsi="宋体" w:eastAsia="宋体" w:cs="宋体"/>
          <w:b/>
          <w:color w:val="auto"/>
          <w:sz w:val="32"/>
          <w:szCs w:val="21"/>
        </w:rPr>
      </w:pPr>
    </w:p>
    <w:p>
      <w:pPr>
        <w:pStyle w:val="107"/>
        <w:rPr>
          <w:rStyle w:val="47"/>
          <w:rFonts w:hint="eastAsia" w:ascii="宋体" w:hAnsi="宋体" w:eastAsia="宋体" w:cs="宋体"/>
          <w:b/>
          <w:color w:val="auto"/>
          <w:sz w:val="32"/>
        </w:rPr>
      </w:pPr>
    </w:p>
    <w:p>
      <w:pPr>
        <w:pStyle w:val="107"/>
        <w:rPr>
          <w:rStyle w:val="47"/>
          <w:rFonts w:hint="eastAsia" w:ascii="宋体" w:hAnsi="宋体" w:eastAsia="宋体" w:cs="宋体"/>
          <w:b/>
          <w:color w:val="auto"/>
          <w:sz w:val="32"/>
        </w:rPr>
      </w:pPr>
    </w:p>
    <w:p>
      <w:pPr>
        <w:spacing w:after="290" w:afterLines="100" w:line="360" w:lineRule="auto"/>
        <w:jc w:val="center"/>
        <w:rPr>
          <w:rStyle w:val="47"/>
          <w:rFonts w:hint="eastAsia" w:ascii="宋体" w:hAnsi="宋体" w:eastAsia="宋体" w:cs="宋体"/>
          <w:bCs/>
          <w:color w:val="auto"/>
          <w:sz w:val="36"/>
          <w:szCs w:val="36"/>
        </w:rPr>
      </w:pPr>
      <w:r>
        <w:rPr>
          <w:rStyle w:val="47"/>
          <w:rFonts w:hint="eastAsia" w:ascii="宋体" w:hAnsi="宋体" w:eastAsia="宋体" w:cs="宋体"/>
          <w:bCs/>
          <w:color w:val="auto"/>
          <w:sz w:val="36"/>
          <w:szCs w:val="36"/>
        </w:rPr>
        <w:t>采购人：盐城工业职业技术学院</w:t>
      </w:r>
    </w:p>
    <w:p>
      <w:pPr>
        <w:pStyle w:val="11"/>
        <w:spacing w:line="360" w:lineRule="auto"/>
        <w:ind w:left="0" w:leftChars="0" w:right="0" w:rightChars="0"/>
        <w:jc w:val="center"/>
        <w:rPr>
          <w:rStyle w:val="47"/>
          <w:rFonts w:hint="eastAsia" w:ascii="宋体" w:hAnsi="宋体" w:eastAsia="宋体" w:cs="宋体"/>
          <w:bCs/>
          <w:color w:val="auto"/>
          <w:sz w:val="36"/>
          <w:szCs w:val="36"/>
        </w:rPr>
      </w:pPr>
      <w:r>
        <w:rPr>
          <w:rStyle w:val="47"/>
          <w:rFonts w:hint="eastAsia" w:ascii="宋体" w:hAnsi="宋体" w:eastAsia="宋体" w:cs="宋体"/>
          <w:bCs/>
          <w:color w:val="auto"/>
          <w:sz w:val="36"/>
          <w:szCs w:val="36"/>
        </w:rPr>
        <w:t>代理人：江苏伟业项目管理有限公司</w:t>
      </w:r>
    </w:p>
    <w:p>
      <w:pPr>
        <w:jc w:val="center"/>
        <w:rPr>
          <w:rStyle w:val="47"/>
          <w:rFonts w:hint="eastAsia" w:ascii="宋体" w:hAnsi="宋体" w:eastAsia="宋体" w:cs="宋体"/>
          <w:color w:val="auto"/>
          <w:sz w:val="36"/>
          <w:szCs w:val="36"/>
        </w:rPr>
      </w:pPr>
    </w:p>
    <w:p>
      <w:pPr>
        <w:jc w:val="center"/>
        <w:rPr>
          <w:rStyle w:val="47"/>
          <w:rFonts w:hint="eastAsia" w:ascii="宋体" w:hAnsi="宋体" w:eastAsia="宋体" w:cs="宋体"/>
          <w:color w:val="auto"/>
          <w:sz w:val="36"/>
          <w:szCs w:val="36"/>
        </w:rPr>
      </w:pPr>
      <w:r>
        <w:rPr>
          <w:rStyle w:val="47"/>
          <w:rFonts w:hint="eastAsia" w:ascii="宋体" w:hAnsi="宋体" w:eastAsia="宋体" w:cs="宋体"/>
          <w:color w:val="auto"/>
          <w:sz w:val="36"/>
          <w:szCs w:val="36"/>
        </w:rPr>
        <w:t>2022年11月28日</w:t>
      </w:r>
    </w:p>
    <w:p>
      <w:pPr>
        <w:spacing w:line="480" w:lineRule="auto"/>
        <w:rPr>
          <w:rStyle w:val="47"/>
          <w:rFonts w:hint="eastAsia" w:ascii="宋体" w:hAnsi="宋体" w:eastAsia="宋体" w:cs="宋体"/>
          <w:color w:val="auto"/>
        </w:rPr>
      </w:pPr>
    </w:p>
    <w:p>
      <w:pPr>
        <w:spacing w:line="480" w:lineRule="auto"/>
        <w:jc w:val="center"/>
        <w:rPr>
          <w:rStyle w:val="47"/>
          <w:rFonts w:hint="eastAsia" w:ascii="宋体" w:hAnsi="宋体" w:eastAsia="宋体" w:cs="宋体"/>
          <w:color w:val="auto"/>
        </w:rPr>
      </w:pPr>
    </w:p>
    <w:p>
      <w:pPr>
        <w:pStyle w:val="2"/>
        <w:rPr>
          <w:rFonts w:hint="eastAsia" w:ascii="宋体" w:hAnsi="宋体" w:eastAsia="宋体" w:cs="宋体"/>
          <w:color w:val="auto"/>
        </w:rPr>
      </w:pPr>
    </w:p>
    <w:p>
      <w:pPr>
        <w:spacing w:line="480" w:lineRule="auto"/>
        <w:jc w:val="center"/>
        <w:rPr>
          <w:rStyle w:val="47"/>
          <w:rFonts w:hint="eastAsia" w:ascii="宋体" w:hAnsi="宋体" w:eastAsia="宋体" w:cs="宋体"/>
          <w:b/>
          <w:color w:val="auto"/>
          <w:sz w:val="44"/>
        </w:rPr>
      </w:pPr>
      <w:r>
        <w:rPr>
          <w:rStyle w:val="47"/>
          <w:rFonts w:hint="eastAsia" w:ascii="宋体" w:hAnsi="宋体" w:eastAsia="宋体" w:cs="宋体"/>
          <w:b/>
          <w:color w:val="auto"/>
          <w:sz w:val="44"/>
        </w:rPr>
        <w:t>总  目  录</w:t>
      </w:r>
    </w:p>
    <w:p>
      <w:pPr>
        <w:spacing w:line="480" w:lineRule="auto"/>
        <w:rPr>
          <w:rStyle w:val="47"/>
          <w:rFonts w:hint="eastAsia" w:ascii="宋体" w:hAnsi="宋体" w:eastAsia="宋体" w:cs="宋体"/>
          <w:b/>
          <w:color w:val="auto"/>
          <w:sz w:val="28"/>
        </w:rPr>
      </w:pPr>
    </w:p>
    <w:sdt>
      <w:sdtPr>
        <w:rPr>
          <w:rFonts w:hint="eastAsia" w:ascii="宋体" w:hAnsi="宋体" w:eastAsia="宋体" w:cs="宋体"/>
          <w:color w:val="auto"/>
          <w:sz w:val="28"/>
          <w:szCs w:val="28"/>
        </w:rPr>
        <w:id w:val="147461321"/>
        <w:docPartObj>
          <w:docPartGallery w:val="Table of Contents"/>
          <w:docPartUnique/>
        </w:docPartObj>
      </w:sdtPr>
      <w:sdtEndPr>
        <w:rPr>
          <w:rFonts w:hint="eastAsia" w:ascii="宋体" w:hAnsi="宋体" w:eastAsia="宋体" w:cs="宋体"/>
          <w:bCs/>
          <w:color w:val="auto"/>
          <w:sz w:val="28"/>
          <w:szCs w:val="28"/>
        </w:rPr>
      </w:sdtEndPr>
      <w:sdtContent>
        <w:p>
          <w:pPr>
            <w:jc w:val="center"/>
            <w:rPr>
              <w:rFonts w:hint="eastAsia" w:ascii="宋体" w:hAnsi="宋体" w:eastAsia="宋体" w:cs="宋体"/>
              <w:color w:val="auto"/>
            </w:rPr>
          </w:pPr>
        </w:p>
        <w:p>
          <w:pPr>
            <w:pStyle w:val="162"/>
            <w:tabs>
              <w:tab w:val="right" w:leader="dot" w:pos="8953"/>
            </w:tabs>
            <w:rPr>
              <w:rFonts w:hint="eastAsia" w:ascii="宋体" w:hAnsi="宋体" w:eastAsia="宋体" w:cs="宋体"/>
              <w:color w:val="auto"/>
              <w:sz w:val="36"/>
              <w:szCs w:val="36"/>
            </w:rPr>
          </w:pPr>
          <w:r>
            <w:rPr>
              <w:rStyle w:val="47"/>
              <w:rFonts w:hint="eastAsia" w:ascii="宋体" w:hAnsi="宋体" w:eastAsia="宋体" w:cs="宋体"/>
              <w:color w:val="auto"/>
              <w:sz w:val="44"/>
            </w:rPr>
            <w:fldChar w:fldCharType="begin"/>
          </w:r>
          <w:r>
            <w:rPr>
              <w:rStyle w:val="47"/>
              <w:rFonts w:hint="eastAsia" w:ascii="宋体" w:hAnsi="宋体" w:eastAsia="宋体" w:cs="宋体"/>
              <w:bCs/>
              <w:color w:val="auto"/>
              <w:sz w:val="44"/>
            </w:rPr>
            <w:instrText xml:space="preserve">TOC \o "1-1" \h \u </w:instrText>
          </w:r>
          <w:r>
            <w:rPr>
              <w:rStyle w:val="47"/>
              <w:rFonts w:hint="eastAsia" w:ascii="宋体" w:hAnsi="宋体" w:eastAsia="宋体" w:cs="宋体"/>
              <w:color w:val="auto"/>
              <w:sz w:val="44"/>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"_Toc18878" </w:instrText>
          </w:r>
          <w:r>
            <w:rPr>
              <w:rFonts w:hint="eastAsia" w:ascii="宋体" w:hAnsi="宋体" w:eastAsia="宋体" w:cs="宋体"/>
              <w:color w:val="auto"/>
            </w:rPr>
            <w:fldChar w:fldCharType="separate"/>
          </w:r>
          <w:r>
            <w:rPr>
              <w:rFonts w:hint="eastAsia" w:ascii="宋体" w:hAnsi="宋体" w:eastAsia="宋体" w:cs="宋体"/>
              <w:b/>
              <w:color w:val="auto"/>
              <w:sz w:val="36"/>
              <w:szCs w:val="36"/>
            </w:rPr>
            <w:t xml:space="preserve">第一章  </w:t>
          </w:r>
          <w:r>
            <w:rPr>
              <w:rFonts w:hint="eastAsia" w:ascii="宋体" w:hAnsi="宋体" w:eastAsia="宋体" w:cs="宋体"/>
              <w:bCs/>
              <w:color w:val="auto"/>
              <w:sz w:val="36"/>
              <w:szCs w:val="36"/>
            </w:rPr>
            <w:t>招标公告</w:t>
          </w:r>
          <w:r>
            <w:rPr>
              <w:rFonts w:hint="eastAsia" w:ascii="宋体" w:hAnsi="宋体" w:eastAsia="宋体" w:cs="宋体"/>
              <w:bCs/>
              <w:color w:val="auto"/>
              <w:sz w:val="36"/>
              <w:szCs w:val="36"/>
            </w:rPr>
            <w:tab/>
          </w:r>
          <w:r>
            <w:rPr>
              <w:rFonts w:hint="eastAsia" w:ascii="宋体" w:hAnsi="宋体" w:eastAsia="宋体" w:cs="宋体"/>
              <w:bCs/>
              <w:color w:val="auto"/>
              <w:sz w:val="36"/>
              <w:szCs w:val="36"/>
            </w:rPr>
            <w:fldChar w:fldCharType="begin"/>
          </w:r>
          <w:r>
            <w:rPr>
              <w:rFonts w:hint="eastAsia" w:ascii="宋体" w:hAnsi="宋体" w:eastAsia="宋体" w:cs="宋体"/>
              <w:bCs/>
              <w:color w:val="auto"/>
              <w:sz w:val="36"/>
              <w:szCs w:val="36"/>
            </w:rPr>
            <w:instrText xml:space="preserve"> PAGEREF _Toc18878 \h </w:instrText>
          </w:r>
          <w:r>
            <w:rPr>
              <w:rFonts w:hint="eastAsia" w:ascii="宋体" w:hAnsi="宋体" w:eastAsia="宋体" w:cs="宋体"/>
              <w:bCs/>
              <w:color w:val="auto"/>
              <w:sz w:val="36"/>
              <w:szCs w:val="36"/>
            </w:rPr>
            <w:fldChar w:fldCharType="separate"/>
          </w:r>
          <w:r>
            <w:rPr>
              <w:rFonts w:hint="eastAsia" w:ascii="宋体" w:hAnsi="宋体" w:eastAsia="宋体" w:cs="宋体"/>
              <w:bCs/>
              <w:color w:val="auto"/>
              <w:sz w:val="36"/>
              <w:szCs w:val="36"/>
            </w:rPr>
            <w:t>3</w:t>
          </w:r>
          <w:r>
            <w:rPr>
              <w:rFonts w:hint="eastAsia" w:ascii="宋体" w:hAnsi="宋体" w:eastAsia="宋体" w:cs="宋体"/>
              <w:bCs/>
              <w:color w:val="auto"/>
              <w:sz w:val="36"/>
              <w:szCs w:val="36"/>
            </w:rPr>
            <w:fldChar w:fldCharType="end"/>
          </w:r>
          <w:r>
            <w:rPr>
              <w:rFonts w:hint="eastAsia" w:ascii="宋体" w:hAnsi="宋体" w:eastAsia="宋体" w:cs="宋体"/>
              <w:bCs/>
              <w:color w:val="auto"/>
              <w:sz w:val="36"/>
              <w:szCs w:val="36"/>
            </w:rPr>
            <w:fldChar w:fldCharType="end"/>
          </w:r>
        </w:p>
        <w:p>
          <w:pPr>
            <w:pStyle w:val="162"/>
            <w:tabs>
              <w:tab w:val="right" w:leader="dot" w:pos="8953"/>
            </w:tabs>
            <w:rPr>
              <w:rFonts w:hint="eastAsia" w:ascii="宋体" w:hAnsi="宋体" w:eastAsia="宋体" w:cs="宋体"/>
              <w:color w:val="auto"/>
              <w:sz w:val="36"/>
              <w:szCs w:val="36"/>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"_Toc21663" </w:instrText>
          </w:r>
          <w:r>
            <w:rPr>
              <w:rFonts w:hint="eastAsia" w:ascii="宋体" w:hAnsi="宋体" w:eastAsia="宋体" w:cs="宋体"/>
              <w:color w:val="auto"/>
            </w:rPr>
            <w:fldChar w:fldCharType="separate"/>
          </w:r>
          <w:r>
            <w:rPr>
              <w:rFonts w:hint="eastAsia" w:ascii="宋体" w:hAnsi="宋体" w:eastAsia="宋体" w:cs="宋体"/>
              <w:b/>
              <w:bCs/>
              <w:color w:val="auto"/>
              <w:sz w:val="36"/>
              <w:szCs w:val="36"/>
            </w:rPr>
            <w:t>第二章</w:t>
          </w:r>
          <w:r>
            <w:rPr>
              <w:rFonts w:hint="eastAsia" w:ascii="宋体" w:hAnsi="宋体" w:eastAsia="宋体" w:cs="宋体"/>
              <w:color w:val="auto"/>
              <w:sz w:val="36"/>
              <w:szCs w:val="36"/>
            </w:rPr>
            <w:t xml:space="preserve">  投标人须知</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_Toc21663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7</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pPr>
            <w:pStyle w:val="162"/>
            <w:tabs>
              <w:tab w:val="right" w:leader="dot" w:pos="8953"/>
            </w:tabs>
            <w:rPr>
              <w:rFonts w:hint="eastAsia" w:ascii="宋体" w:hAnsi="宋体" w:eastAsia="宋体" w:cs="宋体"/>
              <w:color w:val="auto"/>
              <w:sz w:val="36"/>
              <w:szCs w:val="36"/>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"_Toc19468" </w:instrText>
          </w:r>
          <w:r>
            <w:rPr>
              <w:rFonts w:hint="eastAsia" w:ascii="宋体" w:hAnsi="宋体" w:eastAsia="宋体" w:cs="宋体"/>
              <w:color w:val="auto"/>
            </w:rPr>
            <w:fldChar w:fldCharType="separate"/>
          </w:r>
          <w:r>
            <w:rPr>
              <w:rFonts w:hint="eastAsia" w:ascii="宋体" w:hAnsi="宋体" w:eastAsia="宋体" w:cs="宋体"/>
              <w:b/>
              <w:bCs/>
              <w:color w:val="auto"/>
              <w:sz w:val="36"/>
              <w:szCs w:val="36"/>
            </w:rPr>
            <w:t>第三章</w:t>
          </w:r>
          <w:r>
            <w:rPr>
              <w:rFonts w:hint="eastAsia" w:ascii="宋体" w:hAnsi="宋体" w:eastAsia="宋体" w:cs="宋体"/>
              <w:color w:val="auto"/>
              <w:sz w:val="36"/>
              <w:szCs w:val="36"/>
            </w:rPr>
            <w:t xml:space="preserve">  合同条款及格式</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_Toc19468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19</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pPr>
            <w:pStyle w:val="162"/>
            <w:tabs>
              <w:tab w:val="right" w:leader="dot" w:pos="8953"/>
            </w:tabs>
            <w:rPr>
              <w:rFonts w:hint="eastAsia" w:ascii="宋体" w:hAnsi="宋体" w:eastAsia="宋体" w:cs="宋体"/>
              <w:color w:val="auto"/>
              <w:sz w:val="36"/>
              <w:szCs w:val="36"/>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"_Toc17926" </w:instrText>
          </w:r>
          <w:r>
            <w:rPr>
              <w:rFonts w:hint="eastAsia" w:ascii="宋体" w:hAnsi="宋体" w:eastAsia="宋体" w:cs="宋体"/>
              <w:color w:val="auto"/>
            </w:rPr>
            <w:fldChar w:fldCharType="separate"/>
          </w:r>
          <w:r>
            <w:rPr>
              <w:rFonts w:hint="eastAsia" w:ascii="宋体" w:hAnsi="宋体" w:eastAsia="宋体" w:cs="宋体"/>
              <w:b/>
              <w:bCs/>
              <w:color w:val="auto"/>
              <w:sz w:val="36"/>
              <w:szCs w:val="36"/>
            </w:rPr>
            <w:t xml:space="preserve">第四章 </w:t>
          </w:r>
          <w:r>
            <w:rPr>
              <w:rFonts w:hint="eastAsia" w:ascii="宋体" w:hAnsi="宋体" w:eastAsia="宋体" w:cs="宋体"/>
              <w:color w:val="auto"/>
              <w:sz w:val="36"/>
              <w:szCs w:val="36"/>
            </w:rPr>
            <w:t>项目需求</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_Toc17926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19</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pPr>
            <w:pStyle w:val="162"/>
            <w:tabs>
              <w:tab w:val="right" w:leader="dot" w:pos="8953"/>
            </w:tabs>
            <w:rPr>
              <w:rFonts w:hint="eastAsia" w:ascii="宋体" w:hAnsi="宋体" w:eastAsia="宋体" w:cs="宋体"/>
              <w:color w:val="auto"/>
              <w:sz w:val="36"/>
              <w:szCs w:val="36"/>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"_Toc32259" </w:instrText>
          </w:r>
          <w:r>
            <w:rPr>
              <w:rFonts w:hint="eastAsia" w:ascii="宋体" w:hAnsi="宋体" w:eastAsia="宋体" w:cs="宋体"/>
              <w:color w:val="auto"/>
            </w:rPr>
            <w:fldChar w:fldCharType="separate"/>
          </w:r>
          <w:r>
            <w:rPr>
              <w:rFonts w:hint="eastAsia" w:ascii="宋体" w:hAnsi="宋体" w:eastAsia="宋体" w:cs="宋体"/>
              <w:b/>
              <w:bCs/>
              <w:color w:val="auto"/>
              <w:sz w:val="36"/>
              <w:szCs w:val="36"/>
            </w:rPr>
            <w:t>第五章</w:t>
          </w:r>
          <w:r>
            <w:rPr>
              <w:rFonts w:hint="eastAsia" w:ascii="宋体" w:hAnsi="宋体" w:eastAsia="宋体" w:cs="宋体"/>
              <w:color w:val="auto"/>
              <w:sz w:val="36"/>
              <w:szCs w:val="36"/>
            </w:rPr>
            <w:t xml:space="preserve">  评标方法与评标标准</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_Toc32259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23</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pPr>
            <w:pStyle w:val="162"/>
            <w:tabs>
              <w:tab w:val="right" w:leader="dot" w:pos="895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"_Toc20541" </w:instrText>
          </w:r>
          <w:r>
            <w:rPr>
              <w:rFonts w:hint="eastAsia" w:ascii="宋体" w:hAnsi="宋体" w:eastAsia="宋体" w:cs="宋体"/>
              <w:color w:val="auto"/>
            </w:rPr>
            <w:fldChar w:fldCharType="separate"/>
          </w:r>
          <w:r>
            <w:rPr>
              <w:rFonts w:hint="eastAsia" w:ascii="宋体" w:hAnsi="宋体" w:eastAsia="宋体" w:cs="宋体"/>
              <w:b/>
              <w:bCs/>
              <w:color w:val="auto"/>
              <w:sz w:val="36"/>
              <w:szCs w:val="36"/>
            </w:rPr>
            <w:t>第六章</w:t>
          </w:r>
          <w:r>
            <w:rPr>
              <w:rFonts w:hint="eastAsia" w:ascii="宋体" w:hAnsi="宋体" w:eastAsia="宋体" w:cs="宋体"/>
              <w:color w:val="auto"/>
              <w:sz w:val="36"/>
              <w:szCs w:val="36"/>
            </w:rPr>
            <w:t xml:space="preserve">  投标文件格式</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_Toc20541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36</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pPr>
            <w:pStyle w:val="162"/>
            <w:tabs>
              <w:tab w:val="right" w:leader="dot" w:pos="8953"/>
            </w:tabs>
            <w:rPr>
              <w:rFonts w:hint="eastAsia" w:ascii="宋体" w:hAnsi="宋体" w:eastAsia="宋体" w:cs="宋体"/>
              <w:color w:val="auto"/>
            </w:rPr>
          </w:pPr>
        </w:p>
        <w:p>
          <w:pPr>
            <w:pStyle w:val="37"/>
            <w:jc w:val="both"/>
            <w:rPr>
              <w:rFonts w:hint="eastAsia" w:ascii="宋体" w:hAnsi="宋体" w:eastAsia="宋体" w:cs="宋体"/>
              <w:bCs/>
              <w:color w:val="auto"/>
            </w:rPr>
            <w:sectPr>
              <w:headerReference r:id="rId4" w:type="first"/>
              <w:footerReference r:id="rId6" w:type="first"/>
              <w:headerReference r:id="rId3" w:type="default"/>
              <w:footerReference r:id="rId5" w:type="default"/>
              <w:pgSz w:w="11906" w:h="16838"/>
              <w:pgMar w:top="1418" w:right="1588" w:bottom="1418" w:left="1365" w:header="851" w:footer="907" w:gutter="0"/>
              <w:pgNumType w:start="1"/>
              <w:cols w:space="720" w:num="1"/>
              <w:titlePg/>
              <w:docGrid w:type="lines" w:linePitch="290" w:charSpace="0"/>
            </w:sectPr>
          </w:pPr>
          <w:r>
            <w:rPr>
              <w:rFonts w:hint="eastAsia" w:ascii="宋体" w:hAnsi="宋体" w:eastAsia="宋体" w:cs="宋体"/>
              <w:bCs/>
              <w:color w:val="auto"/>
            </w:rPr>
            <w:fldChar w:fldCharType="end"/>
          </w:r>
        </w:p>
      </w:sdtContent>
    </w:sdt>
    <w:p>
      <w:pPr>
        <w:pStyle w:val="37"/>
        <w:outlineLvl w:val="0"/>
        <w:rPr>
          <w:rStyle w:val="47"/>
          <w:rFonts w:hint="eastAsia" w:ascii="宋体" w:hAnsi="宋体" w:eastAsia="宋体" w:cs="宋体"/>
          <w:b/>
          <w:bCs/>
          <w:color w:val="auto"/>
          <w:sz w:val="44"/>
          <w:szCs w:val="44"/>
        </w:rPr>
      </w:pPr>
      <w:bookmarkStart w:id="0" w:name="_Toc18878"/>
      <w:r>
        <w:rPr>
          <w:rStyle w:val="47"/>
          <w:rFonts w:hint="eastAsia" w:ascii="宋体" w:hAnsi="宋体" w:eastAsia="宋体" w:cs="宋体"/>
          <w:b/>
          <w:bCs/>
          <w:color w:val="auto"/>
          <w:sz w:val="44"/>
          <w:szCs w:val="44"/>
        </w:rPr>
        <w:t>第一章  招标公告</w:t>
      </w:r>
      <w:bookmarkEnd w:id="0"/>
    </w:p>
    <w:p>
      <w:pPr>
        <w:pStyle w:val="37"/>
        <w:tabs>
          <w:tab w:val="left" w:pos="0"/>
          <w:tab w:val="left" w:pos="3165"/>
          <w:tab w:val="center" w:pos="4153"/>
        </w:tabs>
        <w:spacing w:line="360" w:lineRule="auto"/>
        <w:rPr>
          <w:rStyle w:val="47"/>
          <w:rFonts w:hint="eastAsia" w:ascii="宋体" w:hAnsi="宋体" w:eastAsia="宋体" w:cs="宋体"/>
          <w:b/>
          <w:bCs/>
          <w:color w:val="auto"/>
        </w:rPr>
      </w:pPr>
      <w:r>
        <w:rPr>
          <w:rStyle w:val="47"/>
          <w:rFonts w:hint="eastAsia" w:ascii="宋体" w:hAnsi="宋体" w:eastAsia="宋体" w:cs="宋体"/>
          <w:b/>
          <w:bCs/>
          <w:color w:val="auto"/>
          <w:sz w:val="32"/>
          <w:szCs w:val="32"/>
        </w:rPr>
        <w:t>盐城工业职业技术学院安防监控招标公告</w:t>
      </w:r>
    </w:p>
    <w:p>
      <w:pPr>
        <w:pBdr>
          <w:top w:val="single" w:color="000000" w:sz="4" w:space="1"/>
          <w:left w:val="single" w:color="000000" w:sz="4" w:space="4"/>
          <w:bottom w:val="single" w:color="000000" w:sz="4" w:space="1"/>
          <w:right w:val="single" w:color="000000" w:sz="4" w:space="4"/>
        </w:pBdr>
        <w:spacing w:line="460" w:lineRule="exact"/>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u w:val="single" w:color="000000"/>
        </w:rPr>
        <w:t>盐城工业职业技术学院安防监控</w:t>
      </w:r>
      <w:r>
        <w:rPr>
          <w:rStyle w:val="47"/>
          <w:rFonts w:hint="eastAsia" w:ascii="宋体" w:hAnsi="宋体" w:eastAsia="宋体" w:cs="宋体"/>
          <w:bCs/>
          <w:color w:val="auto"/>
          <w:sz w:val="24"/>
          <w:szCs w:val="24"/>
        </w:rPr>
        <w:t>招标项目的潜在投标人应在“</w:t>
      </w:r>
      <w:r>
        <w:rPr>
          <w:rStyle w:val="47"/>
          <w:rFonts w:hint="eastAsia" w:ascii="宋体" w:hAnsi="宋体" w:eastAsia="宋体" w:cs="宋体"/>
          <w:bCs/>
          <w:color w:val="auto"/>
          <w:sz w:val="24"/>
          <w:szCs w:val="24"/>
          <w:u w:val="single"/>
        </w:rPr>
        <w:t>盐城工业职业技术学院招标采购网”</w:t>
      </w:r>
      <w:r>
        <w:rPr>
          <w:rStyle w:val="47"/>
          <w:rFonts w:hint="eastAsia" w:ascii="宋体" w:hAnsi="宋体" w:eastAsia="宋体" w:cs="宋体"/>
          <w:bCs/>
          <w:color w:val="auto"/>
          <w:sz w:val="24"/>
          <w:szCs w:val="24"/>
        </w:rPr>
        <w:t>获</w:t>
      </w:r>
      <w:r>
        <w:rPr>
          <w:rStyle w:val="47"/>
          <w:rFonts w:hint="eastAsia" w:ascii="宋体" w:hAnsi="宋体" w:eastAsia="宋体" w:cs="宋体"/>
          <w:color w:val="auto"/>
          <w:sz w:val="24"/>
          <w:szCs w:val="24"/>
        </w:rPr>
        <w:t>取招标文件，并于</w:t>
      </w:r>
      <w:r>
        <w:rPr>
          <w:rStyle w:val="47"/>
          <w:rFonts w:hint="eastAsia" w:ascii="宋体" w:hAnsi="宋体" w:eastAsia="宋体" w:cs="宋体"/>
          <w:color w:val="auto"/>
          <w:sz w:val="24"/>
          <w:szCs w:val="24"/>
          <w:u w:val="single" w:color="000000"/>
        </w:rPr>
        <w:t>2022</w:t>
      </w:r>
      <w:r>
        <w:rPr>
          <w:rStyle w:val="47"/>
          <w:rFonts w:hint="eastAsia" w:ascii="宋体" w:hAnsi="宋体" w:eastAsia="宋体" w:cs="宋体"/>
          <w:bCs/>
          <w:color w:val="auto"/>
          <w:sz w:val="24"/>
          <w:szCs w:val="24"/>
          <w:u w:val="single" w:color="000000"/>
        </w:rPr>
        <w:t>年月日15点00分（</w:t>
      </w:r>
      <w:r>
        <w:rPr>
          <w:rStyle w:val="47"/>
          <w:rFonts w:hint="eastAsia" w:ascii="宋体" w:hAnsi="宋体" w:eastAsia="宋体" w:cs="宋体"/>
          <w:bCs/>
          <w:color w:val="auto"/>
          <w:sz w:val="24"/>
          <w:szCs w:val="24"/>
        </w:rPr>
        <w:t>北京时间）前递交投标文件</w:t>
      </w:r>
      <w:r>
        <w:rPr>
          <w:rStyle w:val="47"/>
          <w:rFonts w:hint="eastAsia" w:ascii="宋体" w:hAnsi="宋体" w:eastAsia="宋体" w:cs="宋体"/>
          <w:color w:val="auto"/>
          <w:sz w:val="24"/>
          <w:szCs w:val="24"/>
        </w:rPr>
        <w:t>。</w:t>
      </w:r>
    </w:p>
    <w:p>
      <w:pPr>
        <w:pStyle w:val="37"/>
        <w:tabs>
          <w:tab w:val="left" w:pos="0"/>
          <w:tab w:val="left" w:pos="3165"/>
          <w:tab w:val="center" w:pos="4153"/>
        </w:tabs>
        <w:snapToGrid w:val="0"/>
        <w:spacing w:line="360" w:lineRule="auto"/>
        <w:ind w:firstLine="482" w:firstLineChars="200"/>
        <w:jc w:val="left"/>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一、项目基本情况</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项目编号：</w:t>
      </w:r>
      <w:r>
        <w:rPr>
          <w:rStyle w:val="47"/>
          <w:rFonts w:hint="eastAsia" w:ascii="宋体" w:hAnsi="宋体" w:eastAsia="宋体" w:cs="宋体"/>
          <w:color w:val="auto"/>
          <w:sz w:val="24"/>
          <w:szCs w:val="24"/>
          <w:u w:val="single"/>
        </w:rPr>
        <w:t>2022-000W</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项目名称：</w:t>
      </w:r>
      <w:r>
        <w:rPr>
          <w:rStyle w:val="47"/>
          <w:rFonts w:hint="eastAsia" w:ascii="宋体" w:hAnsi="宋体" w:eastAsia="宋体" w:cs="宋体"/>
          <w:color w:val="auto"/>
          <w:sz w:val="24"/>
          <w:szCs w:val="24"/>
          <w:u w:val="single"/>
        </w:rPr>
        <w:t>盐城工业职业技术学院安防监控</w:t>
      </w:r>
    </w:p>
    <w:p>
      <w:pPr>
        <w:pStyle w:val="146"/>
        <w:widowControl w:val="0"/>
        <w:tabs>
          <w:tab w:val="left" w:pos="0"/>
        </w:tabs>
        <w:adjustRightInd w:val="0"/>
        <w:snapToGrid w:val="0"/>
        <w:spacing w:line="360" w:lineRule="auto"/>
        <w:ind w:left="0" w:firstLine="480" w:firstLineChars="200"/>
        <w:rPr>
          <w:rStyle w:val="47"/>
          <w:rFonts w:hint="eastAsia" w:ascii="宋体" w:hAnsi="宋体" w:eastAsia="宋体" w:cs="宋体"/>
          <w:color w:val="auto"/>
          <w:szCs w:val="24"/>
          <w:u w:val="single"/>
          <w:lang w:eastAsia="zh-CN"/>
        </w:rPr>
      </w:pPr>
      <w:r>
        <w:rPr>
          <w:rStyle w:val="47"/>
          <w:rFonts w:hint="eastAsia" w:ascii="宋体" w:hAnsi="宋体" w:eastAsia="宋体" w:cs="宋体"/>
          <w:color w:val="auto"/>
          <w:szCs w:val="24"/>
          <w:lang w:eastAsia="zh-CN"/>
        </w:rPr>
        <w:t>最高限价：</w:t>
      </w:r>
      <w:r>
        <w:rPr>
          <w:rStyle w:val="47"/>
          <w:rFonts w:hint="eastAsia" w:ascii="宋体" w:hAnsi="宋体" w:eastAsia="宋体" w:cs="宋体"/>
          <w:color w:val="auto"/>
          <w:szCs w:val="24"/>
          <w:u w:val="single"/>
          <w:lang w:eastAsia="zh-CN"/>
        </w:rPr>
        <w:t>110万元</w:t>
      </w:r>
    </w:p>
    <w:p>
      <w:pPr>
        <w:snapToGrid w:val="0"/>
        <w:spacing w:line="360" w:lineRule="auto"/>
        <w:ind w:firstLine="480" w:firstLineChars="200"/>
        <w:rPr>
          <w:rStyle w:val="47"/>
          <w:rFonts w:hint="eastAsia" w:ascii="宋体" w:hAnsi="宋体" w:eastAsia="宋体" w:cs="宋体"/>
          <w:color w:val="auto"/>
          <w:sz w:val="24"/>
          <w:szCs w:val="24"/>
          <w:u w:val="single"/>
        </w:rPr>
      </w:pPr>
      <w:r>
        <w:rPr>
          <w:rStyle w:val="47"/>
          <w:rFonts w:hint="eastAsia" w:ascii="宋体" w:hAnsi="宋体" w:eastAsia="宋体" w:cs="宋体"/>
          <w:color w:val="auto"/>
          <w:sz w:val="24"/>
          <w:szCs w:val="24"/>
        </w:rPr>
        <w:t>采购需求：</w:t>
      </w:r>
      <w:r>
        <w:rPr>
          <w:rStyle w:val="47"/>
          <w:rFonts w:hint="eastAsia" w:ascii="宋体" w:hAnsi="宋体" w:eastAsia="宋体" w:cs="宋体"/>
          <w:color w:val="auto"/>
          <w:sz w:val="24"/>
          <w:szCs w:val="24"/>
          <w:u w:val="single"/>
        </w:rPr>
        <w:t>盐城工业职业技术学院安防监控项目的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hint="eastAsia" w:ascii="宋体" w:hAnsi="宋体" w:eastAsia="宋体" w:cs="宋体"/>
          <w:color w:val="auto"/>
          <w:sz w:val="24"/>
          <w:szCs w:val="24"/>
          <w:u w:val="single"/>
        </w:rPr>
      </w:pPr>
      <w:r>
        <w:rPr>
          <w:rStyle w:val="47"/>
          <w:rFonts w:hint="eastAsia" w:ascii="宋体" w:hAnsi="宋体" w:eastAsia="宋体" w:cs="宋体"/>
          <w:color w:val="auto"/>
          <w:sz w:val="24"/>
          <w:szCs w:val="24"/>
        </w:rPr>
        <w:t>合同履行期限：</w:t>
      </w:r>
      <w:r>
        <w:rPr>
          <w:rStyle w:val="47"/>
          <w:rFonts w:hint="eastAsia" w:ascii="宋体" w:hAnsi="宋体" w:eastAsia="宋体" w:cs="宋体"/>
          <w:color w:val="auto"/>
          <w:sz w:val="24"/>
          <w:szCs w:val="24"/>
          <w:u w:val="single"/>
        </w:rPr>
        <w:t>在签订合同后90个日历天内完成全部内容的服务工作。</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本项目</w:t>
      </w:r>
      <w:r>
        <w:rPr>
          <w:rStyle w:val="47"/>
          <w:rFonts w:hint="eastAsia" w:ascii="宋体" w:hAnsi="宋体" w:eastAsia="宋体" w:cs="宋体"/>
          <w:b/>
          <w:bCs/>
          <w:color w:val="auto"/>
          <w:sz w:val="24"/>
          <w:szCs w:val="24"/>
          <w:u w:val="single"/>
        </w:rPr>
        <w:t>不接受</w:t>
      </w:r>
      <w:r>
        <w:rPr>
          <w:rStyle w:val="47"/>
          <w:rFonts w:hint="eastAsia" w:ascii="宋体" w:hAnsi="宋体" w:eastAsia="宋体" w:cs="宋体"/>
          <w:color w:val="auto"/>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二、投标人的资格要求：</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（2）上一年度（2021年）的财务报表（成立不满一年不需提供）；</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（3）依法缴纳税收和社会保障资金的相关材料，</w:t>
      </w:r>
      <w:r>
        <w:rPr>
          <w:rStyle w:val="47"/>
          <w:rFonts w:hint="eastAsia" w:ascii="宋体" w:hAnsi="宋体" w:eastAsia="宋体" w:cs="宋体"/>
          <w:color w:val="auto"/>
          <w:sz w:val="24"/>
          <w:szCs w:val="24"/>
        </w:rPr>
        <w:t>依法免税或不需要缴纳社会保障资金的，应提供相应文件证明材料</w:t>
      </w:r>
      <w:r>
        <w:rPr>
          <w:rStyle w:val="47"/>
          <w:rFonts w:hint="eastAsia" w:ascii="宋体" w:hAnsi="宋体" w:eastAsia="宋体" w:cs="宋体"/>
          <w:color w:val="auto"/>
          <w:sz w:val="24"/>
          <w:szCs w:val="24"/>
        </w:rPr>
        <w:t>；</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2.落实政府采购政策需满足的资格要求：/</w:t>
      </w:r>
    </w:p>
    <w:p>
      <w:pPr>
        <w:widowControl w:val="0"/>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3.本项目的特定资格要求：</w:t>
      </w:r>
    </w:p>
    <w:p>
      <w:pPr>
        <w:spacing w:line="460" w:lineRule="exact"/>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w:t>
      </w:r>
      <w:r>
        <w:rPr>
          <w:rStyle w:val="47"/>
          <w:rFonts w:hint="eastAsia" w:ascii="宋体" w:hAnsi="宋体" w:eastAsia="宋体" w:cs="宋体"/>
          <w:color w:val="auto"/>
          <w:sz w:val="24"/>
          <w:szCs w:val="24"/>
        </w:rPr>
        <w:t>2</w:t>
      </w:r>
      <w:r>
        <w:rPr>
          <w:rStyle w:val="47"/>
          <w:rFonts w:hint="eastAsia" w:ascii="宋体" w:hAnsi="宋体" w:eastAsia="宋体" w:cs="宋体"/>
          <w:color w:val="auto"/>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三、获取招标文件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时间：自公告之日起至投标截止时间前1日</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地点：盐城工业职业技术学院招标采购网</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hint="eastAsia" w:ascii="宋体" w:hAnsi="宋体" w:eastAsia="宋体" w:cs="宋体"/>
          <w:color w:val="auto"/>
          <w:sz w:val="24"/>
          <w:szCs w:val="24"/>
        </w:rPr>
      </w:pPr>
      <w:r>
        <w:rPr>
          <w:rFonts w:hint="eastAsia" w:ascii="宋体" w:hAnsi="宋体" w:eastAsia="宋体" w:cs="宋体"/>
          <w:bCs/>
          <w:color w:val="auto"/>
          <w:sz w:val="24"/>
          <w:szCs w:val="24"/>
        </w:rPr>
        <w:t>报名时间及地点：本公告发布后凡具备上述资格条件，并自愿参加本项目投标的投标人应于2022年月日至2022年月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四、提交投标文件截止时间、开标时间和地点</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时间：</w:t>
      </w:r>
      <w:r>
        <w:rPr>
          <w:rStyle w:val="47"/>
          <w:rFonts w:hint="eastAsia" w:ascii="宋体" w:hAnsi="宋体" w:eastAsia="宋体" w:cs="宋体"/>
          <w:color w:val="auto"/>
          <w:sz w:val="24"/>
          <w:szCs w:val="24"/>
          <w:u w:val="single" w:color="000000"/>
        </w:rPr>
        <w:t>2022</w:t>
      </w:r>
      <w:r>
        <w:rPr>
          <w:rStyle w:val="47"/>
          <w:rFonts w:hint="eastAsia" w:ascii="宋体" w:hAnsi="宋体" w:eastAsia="宋体" w:cs="宋体"/>
          <w:bCs/>
          <w:color w:val="auto"/>
          <w:sz w:val="24"/>
          <w:szCs w:val="24"/>
          <w:u w:val="single" w:color="000000"/>
        </w:rPr>
        <w:t>年月日15点00分</w:t>
      </w:r>
      <w:r>
        <w:rPr>
          <w:rStyle w:val="47"/>
          <w:rFonts w:hint="eastAsia" w:ascii="宋体" w:hAnsi="宋体" w:eastAsia="宋体" w:cs="宋体"/>
          <w:color w:val="auto"/>
          <w:sz w:val="24"/>
          <w:szCs w:val="24"/>
        </w:rPr>
        <w:t>（北京时间）</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地点：盐城工业职业技术学院（盐城市解放南路285号）后勤服务中心四楼402开标室，</w:t>
      </w:r>
      <w:r>
        <w:rPr>
          <w:rStyle w:val="47"/>
          <w:rFonts w:hint="eastAsia" w:ascii="宋体" w:hAnsi="宋体" w:eastAsia="宋体" w:cs="宋体"/>
          <w:color w:val="auto"/>
          <w:sz w:val="24"/>
          <w:szCs w:val="24"/>
        </w:rPr>
        <w:t>如因疫情防控等不可控因素，导致部分或全部投标人无法进入校园，则投标地点改为：</w:t>
      </w:r>
      <w:r>
        <w:rPr>
          <w:rFonts w:hint="eastAsia" w:ascii="宋体" w:hAnsi="宋体" w:eastAsia="宋体" w:cs="宋体"/>
          <w:bCs/>
          <w:color w:val="auto"/>
          <w:sz w:val="24"/>
          <w:szCs w:val="24"/>
        </w:rPr>
        <w:t>盐城市金融城四号楼1103室</w:t>
      </w:r>
      <w:r>
        <w:rPr>
          <w:rStyle w:val="47"/>
          <w:rFonts w:hint="eastAsia" w:ascii="宋体" w:hAnsi="宋体" w:eastAsia="宋体" w:cs="宋体"/>
          <w:color w:val="auto"/>
          <w:sz w:val="24"/>
          <w:szCs w:val="24"/>
        </w:rPr>
        <w:t>。</w:t>
      </w:r>
    </w:p>
    <w:p>
      <w:pPr>
        <w:pStyle w:val="37"/>
        <w:tabs>
          <w:tab w:val="left" w:pos="0"/>
          <w:tab w:val="left" w:pos="3165"/>
          <w:tab w:val="center" w:pos="4153"/>
        </w:tabs>
        <w:snapToGrid w:val="0"/>
        <w:spacing w:line="360" w:lineRule="auto"/>
        <w:ind w:firstLine="482" w:firstLineChars="200"/>
        <w:jc w:val="left"/>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五、公告期限</w:t>
      </w:r>
    </w:p>
    <w:p>
      <w:pPr>
        <w:snapToGrid w:val="0"/>
        <w:spacing w:line="360" w:lineRule="auto"/>
        <w:ind w:firstLine="480" w:firstLineChars="200"/>
        <w:rPr>
          <w:rStyle w:val="47"/>
          <w:rFonts w:hint="eastAsia" w:ascii="宋体" w:hAnsi="宋体" w:eastAsia="宋体" w:cs="宋体"/>
          <w:color w:val="auto"/>
          <w:kern w:val="0"/>
          <w:sz w:val="24"/>
          <w:szCs w:val="24"/>
        </w:rPr>
      </w:pPr>
      <w:r>
        <w:rPr>
          <w:rStyle w:val="47"/>
          <w:rFonts w:hint="eastAsia" w:ascii="宋体" w:hAnsi="宋体" w:eastAsia="宋体" w:cs="宋体"/>
          <w:color w:val="auto"/>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六、其他补充事宜</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(一)因疫情防控需要，为确保校园安全，</w:t>
      </w:r>
      <w:r>
        <w:rPr>
          <w:rStyle w:val="47"/>
          <w:rFonts w:hint="eastAsia" w:ascii="宋体" w:hAnsi="宋体" w:eastAsia="宋体" w:cs="宋体"/>
          <w:b/>
          <w:bCs/>
          <w:color w:val="auto"/>
          <w:sz w:val="24"/>
          <w:szCs w:val="24"/>
        </w:rPr>
        <w:t>投标人须持有48小时内核酸检测阴性证明</w:t>
      </w:r>
      <w:r>
        <w:rPr>
          <w:rStyle w:val="47"/>
          <w:rFonts w:hint="eastAsia" w:ascii="宋体" w:hAnsi="宋体" w:eastAsia="宋体" w:cs="宋体"/>
          <w:color w:val="auto"/>
          <w:sz w:val="24"/>
          <w:szCs w:val="24"/>
        </w:rPr>
        <w:t>进入盐城工业职业技术学院校区时应服从下列疫情防控措施：</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（1）投标前10天内与确诊/疑似病例或无症状感染者有密切接触的人员，以及与密切接触者接触的次密切接触者，一律不得进校。</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（2）投标前10天内接触过境外归国人员（未解除隔离的），按次密切接触者处置，一律不得进校。</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（8）各投标项目授权代表限1人进入校园，项目授权代表进入校园时须全程佩戴口罩，做好手部消毒及投标文件等消毒防护工作。</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（10）投标人未如实报告个人信息，承担相应责任和法律后果，引发问题学校可取消其中标资格。</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请各投标人预留好相应时间，配合做好上述管控措施，</w:t>
      </w:r>
      <w:r>
        <w:rPr>
          <w:rStyle w:val="47"/>
          <w:rFonts w:hint="eastAsia" w:ascii="宋体" w:hAnsi="宋体" w:eastAsia="宋体" w:cs="宋体"/>
          <w:b/>
          <w:color w:val="auto"/>
          <w:sz w:val="24"/>
          <w:szCs w:val="24"/>
        </w:rPr>
        <w:t>如因疫情防控等不可控因素变更开标地点，则执行新的开标地点疫情防控要求</w:t>
      </w:r>
      <w:r>
        <w:rPr>
          <w:rStyle w:val="47"/>
          <w:rFonts w:hint="eastAsia" w:ascii="宋体" w:hAnsi="宋体" w:eastAsia="宋体" w:cs="宋体"/>
          <w:color w:val="auto"/>
          <w:sz w:val="24"/>
          <w:szCs w:val="24"/>
        </w:rPr>
        <w:t>。</w:t>
      </w:r>
    </w:p>
    <w:p>
      <w:pPr>
        <w:numPr>
          <w:ilvl w:val="0"/>
          <w:numId w:val="4"/>
        </w:num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八、对本次招标提出询问，请按以下方式联系。</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1.采购人信息</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名称：盐城工业职业技术学院</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地址：盐城市解放南路285号</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 xml:space="preserve">联系人：赵老师             </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联系电话：0515-88588707</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2.采购代理机构信息</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名称：江苏伟业项目管理有限公司</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地址：盐城市金融城四号楼1103</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 xml:space="preserve">联系人：周鹏              </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联系电话：13024494996</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3.项目联系方式</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项目联系人：</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联系电话：</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对项目需求部分的询问、质疑请向使用部门提出，询问、质疑由项目联系人负责答复。</w:t>
      </w:r>
    </w:p>
    <w:p>
      <w:pPr>
        <w:snapToGrid w:val="0"/>
        <w:spacing w:line="360" w:lineRule="auto"/>
        <w:ind w:firstLine="480" w:firstLineChars="20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11"/>
        <w:ind w:left="1470" w:right="1470"/>
        <w:rPr>
          <w:rStyle w:val="47"/>
          <w:rFonts w:hint="eastAsia" w:ascii="宋体" w:hAnsi="宋体" w:eastAsia="宋体" w:cs="宋体"/>
          <w:color w:val="auto"/>
          <w:sz w:val="24"/>
          <w:szCs w:val="24"/>
        </w:rPr>
      </w:pPr>
    </w:p>
    <w:p>
      <w:pPr>
        <w:pStyle w:val="38"/>
        <w:spacing w:before="0" w:after="0" w:line="240" w:lineRule="auto"/>
        <w:outlineLvl w:val="0"/>
        <w:rPr>
          <w:rStyle w:val="47"/>
          <w:rFonts w:hint="eastAsia" w:ascii="宋体" w:hAnsi="宋体" w:eastAsia="宋体" w:cs="宋体"/>
          <w:b w:val="0"/>
          <w:bCs w:val="0"/>
          <w:color w:val="auto"/>
        </w:rPr>
      </w:pPr>
      <w:bookmarkStart w:id="1" w:name="_Toc21663"/>
      <w:r>
        <w:rPr>
          <w:rStyle w:val="47"/>
          <w:rFonts w:hint="eastAsia" w:ascii="宋体" w:hAnsi="宋体" w:eastAsia="宋体" w:cs="宋体"/>
          <w:color w:val="auto"/>
        </w:rPr>
        <w:t>第二章  投标人须知</w:t>
      </w:r>
      <w:bookmarkEnd w:id="1"/>
    </w:p>
    <w:p>
      <w:pPr>
        <w:pStyle w:val="40"/>
        <w:snapToGrid w:val="0"/>
        <w:spacing w:before="0" w:after="0"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一、总则</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1、招标方式</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1.1 本次招标采取公开</w:t>
      </w:r>
      <w:bookmarkStart w:id="64" w:name="_GoBack"/>
      <w:bookmarkEnd w:id="64"/>
      <w:r>
        <w:rPr>
          <w:rStyle w:val="47"/>
          <w:rFonts w:hint="eastAsia" w:ascii="宋体" w:hAnsi="宋体" w:eastAsia="宋体" w:cs="宋体"/>
          <w:color w:val="auto"/>
          <w:sz w:val="24"/>
          <w:szCs w:val="24"/>
        </w:rPr>
        <w:t>招标方式，本招标文件仅适用于招标公告中所述项目。</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2、合格的投标人</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2.1满足招标公告中供应商的资格要求的规定。</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2.2 满足本文件实质性条款的规定。</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3、适用法律</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4、投标费用</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4.2本项目中标人与采购人签订合同前领取中标通知书时须向采购代理机构支付招标代理服务费，收费标准按中标价的1.5%×40%计取（如低于3039元的直接按3039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5、招标文件的约束力</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5.1</w:t>
      </w:r>
      <w:r>
        <w:rPr>
          <w:rStyle w:val="47"/>
          <w:rFonts w:hint="eastAsia" w:ascii="宋体" w:hAnsi="宋体" w:eastAsia="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6、招标文件的解释</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6.1 本招标文件由采购人或采购代理机构负责解释。</w:t>
      </w:r>
    </w:p>
    <w:p>
      <w:pPr>
        <w:pStyle w:val="40"/>
        <w:snapToGrid w:val="0"/>
        <w:spacing w:before="0" w:after="0"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二、招标文件</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7、招标文件构成</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7.1</w:t>
      </w:r>
      <w:r>
        <w:rPr>
          <w:rStyle w:val="47"/>
          <w:rFonts w:hint="eastAsia" w:ascii="宋体" w:hAnsi="宋体" w:eastAsia="宋体" w:cs="宋体"/>
          <w:color w:val="auto"/>
          <w:sz w:val="24"/>
          <w:szCs w:val="24"/>
        </w:rPr>
        <w:t xml:space="preserve"> 招标文件有以下部分组成：</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（1）招标公告</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（2）投标人须知</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（3）合同条款及格式</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（4）项目需求</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（5）评标方法与评标标准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（6）投标文件格式</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7.2</w:t>
      </w:r>
      <w:r>
        <w:rPr>
          <w:rStyle w:val="47"/>
          <w:rFonts w:hint="eastAsia" w:ascii="宋体" w:hAnsi="宋体" w:eastAsia="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8、招标文件的询问</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8.1</w:t>
      </w:r>
      <w:r>
        <w:rPr>
          <w:rStyle w:val="47"/>
          <w:rFonts w:hint="eastAsia" w:ascii="宋体" w:hAnsi="宋体" w:eastAsia="宋体" w:cs="宋体"/>
          <w:color w:val="auto"/>
          <w:sz w:val="24"/>
          <w:szCs w:val="24"/>
        </w:rPr>
        <w:t xml:space="preserve"> 任何要求对招标文件进行询问的投标人，应在投标截止日期</w:t>
      </w:r>
      <w:r>
        <w:rPr>
          <w:rStyle w:val="47"/>
          <w:rFonts w:hint="eastAsia" w:ascii="宋体" w:hAnsi="宋体" w:eastAsia="宋体" w:cs="宋体"/>
          <w:b/>
          <w:color w:val="auto"/>
          <w:sz w:val="24"/>
          <w:szCs w:val="24"/>
        </w:rPr>
        <w:t>十日</w:t>
      </w:r>
      <w:r>
        <w:rPr>
          <w:rStyle w:val="47"/>
          <w:rFonts w:hint="eastAsia" w:ascii="宋体" w:hAnsi="宋体" w:eastAsia="宋体" w:cs="宋体"/>
          <w:color w:val="auto"/>
          <w:sz w:val="24"/>
          <w:szCs w:val="24"/>
        </w:rPr>
        <w:t>前按招标公告中的通讯地址，向采购人或采购代理机构提出。</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9、招标文件的修改</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9.1</w:t>
      </w:r>
      <w:r>
        <w:rPr>
          <w:rStyle w:val="47"/>
          <w:rFonts w:hint="eastAsia" w:ascii="宋体" w:hAnsi="宋体" w:eastAsia="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9.2</w:t>
      </w:r>
      <w:r>
        <w:rPr>
          <w:rStyle w:val="47"/>
          <w:rFonts w:hint="eastAsia" w:ascii="宋体" w:hAnsi="宋体" w:eastAsia="宋体" w:cs="宋体"/>
          <w:color w:val="auto"/>
          <w:sz w:val="24"/>
          <w:szCs w:val="24"/>
        </w:rPr>
        <w:t>采购人或采购代理机构有权依法推迟投标截止日期和开标日期。</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9.3</w:t>
      </w:r>
      <w:r>
        <w:rPr>
          <w:rStyle w:val="47"/>
          <w:rFonts w:hint="eastAsia" w:ascii="宋体" w:hAnsi="宋体" w:eastAsia="宋体" w:cs="宋体"/>
          <w:color w:val="auto"/>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三、投标文件的编制</w:t>
      </w:r>
    </w:p>
    <w:p>
      <w:pPr>
        <w:pStyle w:val="41"/>
        <w:snapToGrid w:val="0"/>
        <w:spacing w:before="0" w:after="0"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 w:val="0"/>
          <w:bCs/>
          <w:color w:val="auto"/>
          <w:sz w:val="24"/>
          <w:szCs w:val="24"/>
        </w:rPr>
        <w:t>10、投标文件的语言及度量衡单位</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10.1</w:t>
      </w:r>
      <w:r>
        <w:rPr>
          <w:rStyle w:val="47"/>
          <w:rFonts w:hint="eastAsia" w:ascii="宋体" w:hAnsi="宋体" w:eastAsia="宋体" w:cs="宋体"/>
          <w:color w:val="auto"/>
          <w:sz w:val="24"/>
          <w:szCs w:val="24"/>
        </w:rPr>
        <w:t xml:space="preserve"> 投标人提交的投标文件以及投标人与采购人或采购代理机构就有关投标的所有来往通知、函件和文件均应使用</w:t>
      </w:r>
      <w:r>
        <w:rPr>
          <w:rStyle w:val="47"/>
          <w:rFonts w:hint="eastAsia" w:ascii="宋体" w:hAnsi="宋体" w:eastAsia="宋体" w:cs="宋体"/>
          <w:b/>
          <w:bCs/>
          <w:color w:val="auto"/>
          <w:sz w:val="24"/>
          <w:szCs w:val="24"/>
        </w:rPr>
        <w:t>简体中文</w:t>
      </w:r>
      <w:r>
        <w:rPr>
          <w:rStyle w:val="47"/>
          <w:rFonts w:hint="eastAsia" w:ascii="宋体" w:hAnsi="宋体" w:eastAsia="宋体" w:cs="宋体"/>
          <w:color w:val="auto"/>
          <w:sz w:val="24"/>
          <w:szCs w:val="24"/>
        </w:rPr>
        <w:t>。</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10.2</w:t>
      </w:r>
      <w:r>
        <w:rPr>
          <w:rStyle w:val="47"/>
          <w:rFonts w:hint="eastAsia" w:ascii="宋体" w:hAnsi="宋体" w:eastAsia="宋体" w:cs="宋体"/>
          <w:color w:val="auto"/>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11、投标文件构成</w:t>
      </w:r>
    </w:p>
    <w:p>
      <w:pPr>
        <w:adjustRightInd w:val="0"/>
        <w:snapToGrid w:val="0"/>
        <w:spacing w:line="360" w:lineRule="auto"/>
        <w:ind w:firstLine="480" w:firstLineChars="200"/>
        <w:rPr>
          <w:rFonts w:hint="eastAsia" w:ascii="宋体" w:hAnsi="宋体" w:eastAsia="宋体" w:cs="宋体"/>
          <w:color w:val="auto"/>
          <w:sz w:val="24"/>
          <w:szCs w:val="24"/>
        </w:rPr>
      </w:pPr>
      <w:r>
        <w:rPr>
          <w:rStyle w:val="47"/>
          <w:rFonts w:hint="eastAsia" w:ascii="宋体" w:hAnsi="宋体" w:eastAsia="宋体" w:cs="宋体"/>
          <w:bCs/>
          <w:color w:val="auto"/>
          <w:sz w:val="24"/>
          <w:szCs w:val="24"/>
        </w:rPr>
        <w:t>11.1</w:t>
      </w:r>
      <w:r>
        <w:rPr>
          <w:rFonts w:hint="eastAsia" w:ascii="宋体" w:hAnsi="宋体" w:eastAsia="宋体" w:cs="宋体"/>
          <w:color w:val="auto"/>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12、证明投标人资格及符合招标文件规定的文件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12.1投标人应按要求提交资格证明文件及符合招标文件规定的文件。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12.5证明投标人所提供货物及服务与招标文件的要求相一致的文件可以是手册、图纸、文字资料和数据</w:t>
      </w:r>
      <w:r>
        <w:rPr>
          <w:rStyle w:val="47"/>
          <w:rFonts w:hint="eastAsia" w:ascii="宋体" w:hAnsi="宋体" w:eastAsia="宋体" w:cs="宋体"/>
          <w:bCs/>
          <w:color w:val="auto"/>
          <w:sz w:val="24"/>
          <w:szCs w:val="24"/>
        </w:rPr>
        <w:t>。</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13、供货一览表和投标配置与分项报价表</w:t>
      </w:r>
    </w:p>
    <w:p>
      <w:pPr>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13.1</w:t>
      </w:r>
      <w:r>
        <w:rPr>
          <w:rFonts w:hint="eastAsia" w:ascii="宋体" w:hAnsi="宋体" w:eastAsia="宋体" w:cs="宋体"/>
          <w:color w:val="auto"/>
          <w:sz w:val="24"/>
          <w:szCs w:val="24"/>
        </w:rPr>
        <w:t xml:space="preserve"> 投</w:t>
      </w:r>
      <w:bookmarkStart w:id="2" w:name="_Hlt26954840"/>
      <w:bookmarkEnd w:id="2"/>
      <w:r>
        <w:rPr>
          <w:rFonts w:hint="eastAsia" w:ascii="宋体" w:hAnsi="宋体" w:eastAsia="宋体" w:cs="宋体"/>
          <w:color w:val="auto"/>
          <w:sz w:val="24"/>
          <w:szCs w:val="24"/>
        </w:rPr>
        <w:t>标人应按照招标文件规定格式填报投标配置与分项报价表</w:t>
      </w:r>
      <w:bookmarkStart w:id="3" w:name="_Hlt26670399"/>
      <w:bookmarkEnd w:id="3"/>
      <w:r>
        <w:rPr>
          <w:rFonts w:hint="eastAsia" w:ascii="宋体" w:hAnsi="宋体" w:eastAsia="宋体" w:cs="宋体"/>
          <w:color w:val="auto"/>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13.2</w:t>
      </w:r>
      <w:r>
        <w:rPr>
          <w:rStyle w:val="47"/>
          <w:rFonts w:hint="eastAsia" w:ascii="宋体" w:hAnsi="宋体" w:eastAsia="宋体" w:cs="宋体"/>
          <w:color w:val="auto"/>
          <w:sz w:val="24"/>
          <w:szCs w:val="24"/>
        </w:rPr>
        <w:t xml:space="preserve"> 标的物</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采购人需求的货物供应、安装，调试及有关技术服务等</w:t>
      </w:r>
      <w:r>
        <w:rPr>
          <w:rStyle w:val="47"/>
          <w:rFonts w:hint="eastAsia" w:ascii="宋体" w:hAnsi="宋体" w:eastAsia="宋体" w:cs="宋体"/>
          <w:color w:val="auto"/>
          <w:sz w:val="24"/>
          <w:szCs w:val="24"/>
        </w:rPr>
        <w:t>。</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13.3有关费用处理</w:t>
      </w:r>
    </w:p>
    <w:p>
      <w:pPr>
        <w:snapToGrid w:val="0"/>
        <w:spacing w:line="360" w:lineRule="auto"/>
        <w:ind w:firstLine="480" w:firstLineChars="200"/>
        <w:rPr>
          <w:rStyle w:val="47"/>
          <w:rFonts w:hint="eastAsia" w:ascii="宋体" w:hAnsi="宋体" w:eastAsia="宋体" w:cs="宋体"/>
          <w:bCs/>
          <w:color w:val="auto"/>
          <w:sz w:val="24"/>
          <w:szCs w:val="24"/>
        </w:rPr>
      </w:pPr>
      <w:r>
        <w:rPr>
          <w:rFonts w:hint="eastAsia" w:ascii="宋体" w:hAnsi="宋体" w:eastAsia="宋体" w:cs="宋体"/>
          <w:color w:val="auto"/>
          <w:sz w:val="24"/>
          <w:szCs w:val="24"/>
        </w:rPr>
        <w:t>招标报价采用总承包方式，</w:t>
      </w:r>
      <w:r>
        <w:rPr>
          <w:rStyle w:val="47"/>
          <w:rFonts w:hint="eastAsia" w:ascii="宋体" w:hAnsi="宋体" w:eastAsia="宋体" w:cs="宋体"/>
          <w:color w:val="auto"/>
          <w:sz w:val="24"/>
          <w:szCs w:val="24"/>
        </w:rPr>
        <w:t>包括</w:t>
      </w:r>
      <w:r>
        <w:rPr>
          <w:rStyle w:val="47"/>
          <w:rFonts w:hint="eastAsia" w:ascii="宋体" w:hAnsi="宋体" w:eastAsia="宋体" w:cs="宋体"/>
          <w:bCs/>
          <w:color w:val="auto"/>
          <w:sz w:val="24"/>
          <w:szCs w:val="24"/>
        </w:rPr>
        <w:t>买方需求的货物价格</w:t>
      </w:r>
      <w:r>
        <w:rPr>
          <w:rStyle w:val="47"/>
          <w:rFonts w:hint="eastAsia" w:ascii="宋体" w:hAnsi="宋体" w:eastAsia="宋体" w:cs="宋体"/>
          <w:color w:val="auto"/>
          <w:sz w:val="24"/>
          <w:szCs w:val="24"/>
        </w:rPr>
        <w:t>、</w:t>
      </w:r>
      <w:r>
        <w:rPr>
          <w:rStyle w:val="47"/>
          <w:rFonts w:hint="eastAsia" w:ascii="宋体" w:hAnsi="宋体" w:eastAsia="宋体" w:cs="宋体"/>
          <w:bCs/>
          <w:color w:val="auto"/>
          <w:sz w:val="24"/>
          <w:szCs w:val="24"/>
        </w:rPr>
        <w:t>质量保证费用、培训费用及售后服务费用，项目在指定地点、环境交付、验收所需费用和所有</w:t>
      </w:r>
      <w:r>
        <w:rPr>
          <w:rStyle w:val="47"/>
          <w:rFonts w:hint="eastAsia" w:ascii="宋体" w:hAnsi="宋体" w:eastAsia="宋体" w:cs="宋体"/>
          <w:color w:val="auto"/>
          <w:sz w:val="24"/>
          <w:szCs w:val="24"/>
        </w:rPr>
        <w:t>相关税金费用</w:t>
      </w:r>
      <w:r>
        <w:rPr>
          <w:rStyle w:val="47"/>
          <w:rFonts w:hint="eastAsia" w:ascii="宋体" w:hAnsi="宋体" w:eastAsia="宋体" w:cs="宋体"/>
          <w:bCs/>
          <w:color w:val="auto"/>
          <w:sz w:val="24"/>
          <w:szCs w:val="24"/>
        </w:rPr>
        <w:t>及为完成整个项目所产生的其它所有费用。</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13.4</w:t>
      </w:r>
      <w:r>
        <w:rPr>
          <w:rStyle w:val="47"/>
          <w:rFonts w:hint="eastAsia" w:ascii="宋体" w:hAnsi="宋体" w:eastAsia="宋体" w:cs="宋体"/>
          <w:bCs/>
          <w:color w:val="auto"/>
          <w:sz w:val="24"/>
          <w:szCs w:val="24"/>
        </w:rPr>
        <w:t>其它费用处理</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招标文件未列明，而投标人认为必需的费用也需列入报价。</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13.5</w:t>
      </w:r>
      <w:r>
        <w:rPr>
          <w:rStyle w:val="47"/>
          <w:rFonts w:hint="eastAsia" w:ascii="宋体" w:hAnsi="宋体" w:eastAsia="宋体" w:cs="宋体"/>
          <w:bCs/>
          <w:color w:val="auto"/>
          <w:sz w:val="24"/>
          <w:szCs w:val="24"/>
        </w:rPr>
        <w:t>投标货币</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投标文件中的货物</w:t>
      </w:r>
      <w:r>
        <w:rPr>
          <w:rStyle w:val="47"/>
          <w:rFonts w:hint="eastAsia" w:ascii="宋体" w:hAnsi="宋体" w:eastAsia="宋体" w:cs="宋体"/>
          <w:color w:val="auto"/>
          <w:sz w:val="24"/>
          <w:szCs w:val="24"/>
        </w:rPr>
        <w:t>及服务</w:t>
      </w:r>
      <w:r>
        <w:rPr>
          <w:rStyle w:val="47"/>
          <w:rFonts w:hint="eastAsia" w:ascii="宋体" w:hAnsi="宋体" w:eastAsia="宋体" w:cs="宋体"/>
          <w:bCs/>
          <w:color w:val="auto"/>
          <w:sz w:val="24"/>
          <w:szCs w:val="24"/>
        </w:rPr>
        <w:t>单价和总价无特殊规定的采用人民币报价，以元为单位标注。</w:t>
      </w:r>
      <w:r>
        <w:rPr>
          <w:rStyle w:val="47"/>
          <w:rFonts w:hint="eastAsia" w:ascii="宋体" w:hAnsi="宋体" w:eastAsia="宋体" w:cs="宋体"/>
          <w:color w:val="auto"/>
          <w:sz w:val="24"/>
          <w:szCs w:val="24"/>
        </w:rPr>
        <w:t>招标文件中另有规定的按规定执行。</w:t>
      </w:r>
    </w:p>
    <w:p>
      <w:pPr>
        <w:widowControl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13.6 投标配置与分项报价表上的价格应按下列方式分开填写：</w:t>
      </w:r>
    </w:p>
    <w:p>
      <w:pPr>
        <w:widowControl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13.6.2项目单价按投标配置及分项报价表中要求填报。</w:t>
      </w:r>
    </w:p>
    <w:p>
      <w:pPr>
        <w:widowControl w:val="0"/>
        <w:adjustRightInd w:val="0"/>
        <w:snapToGrid w:val="0"/>
        <w:spacing w:line="360" w:lineRule="auto"/>
        <w:ind w:firstLine="480" w:firstLineChars="200"/>
        <w:rPr>
          <w:rStyle w:val="47"/>
          <w:rFonts w:hint="eastAsia" w:ascii="宋体" w:hAnsi="宋体" w:eastAsia="宋体" w:cs="宋体"/>
          <w:bCs/>
          <w:color w:val="auto"/>
          <w:sz w:val="24"/>
          <w:szCs w:val="24"/>
        </w:rPr>
      </w:pPr>
      <w:r>
        <w:rPr>
          <w:rFonts w:hint="eastAsia" w:ascii="宋体" w:hAnsi="宋体" w:eastAsia="宋体" w:cs="宋体"/>
          <w:color w:val="auto"/>
          <w:sz w:val="24"/>
          <w:szCs w:val="24"/>
        </w:rPr>
        <w:t>14、技术参数响应及偏离表、商务条款响应及偏离表及投标货物说</w:t>
      </w:r>
      <w:r>
        <w:rPr>
          <w:rStyle w:val="47"/>
          <w:rFonts w:hint="eastAsia" w:ascii="宋体" w:hAnsi="宋体" w:eastAsia="宋体" w:cs="宋体"/>
          <w:color w:val="auto"/>
          <w:sz w:val="24"/>
          <w:szCs w:val="24"/>
        </w:rPr>
        <w:t>明</w:t>
      </w:r>
    </w:p>
    <w:p>
      <w:pPr>
        <w:snapToGrid w:val="0"/>
        <w:spacing w:line="360" w:lineRule="auto"/>
        <w:ind w:firstLine="480" w:firstLineChars="200"/>
        <w:rPr>
          <w:rStyle w:val="47"/>
          <w:rFonts w:hint="eastAsia" w:ascii="宋体" w:hAnsi="宋体" w:eastAsia="宋体" w:cs="宋体"/>
          <w:color w:val="auto"/>
          <w:sz w:val="24"/>
          <w:szCs w:val="24"/>
          <w:lang w:val="zh-CN"/>
        </w:rPr>
      </w:pPr>
      <w:r>
        <w:rPr>
          <w:rStyle w:val="47"/>
          <w:rFonts w:hint="eastAsia" w:ascii="宋体" w:hAnsi="宋体" w:eastAsia="宋体" w:cs="宋体"/>
          <w:bCs/>
          <w:color w:val="auto"/>
          <w:sz w:val="24"/>
          <w:szCs w:val="24"/>
          <w:lang w:val="zh-CN"/>
        </w:rPr>
        <w:t>14.1</w:t>
      </w:r>
      <w:r>
        <w:rPr>
          <w:rStyle w:val="47"/>
          <w:rFonts w:hint="eastAsia" w:ascii="宋体" w:hAnsi="宋体" w:eastAsia="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hint="eastAsia" w:ascii="宋体" w:hAnsi="宋体" w:eastAsia="宋体" w:cs="宋体"/>
          <w:color w:val="auto"/>
          <w:sz w:val="24"/>
          <w:szCs w:val="24"/>
          <w:lang w:val="zh-CN"/>
        </w:rPr>
      </w:pPr>
      <w:r>
        <w:rPr>
          <w:rStyle w:val="47"/>
          <w:rFonts w:hint="eastAsia" w:ascii="宋体" w:hAnsi="宋体" w:eastAsia="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7"/>
          <w:rFonts w:hint="eastAsia" w:ascii="宋体" w:hAnsi="宋体" w:eastAsia="宋体" w:cs="宋体"/>
          <w:color w:val="auto"/>
          <w:sz w:val="24"/>
          <w:szCs w:val="24"/>
          <w:lang w:val="zh-CN"/>
        </w:rPr>
      </w:pPr>
      <w:r>
        <w:rPr>
          <w:rStyle w:val="47"/>
          <w:rFonts w:hint="eastAsia" w:ascii="宋体" w:hAnsi="宋体" w:eastAsia="宋体" w:cs="宋体"/>
          <w:color w:val="auto"/>
          <w:sz w:val="24"/>
          <w:szCs w:val="24"/>
          <w:lang w:val="zh-CN"/>
        </w:rPr>
        <w:t>14.3 培训计划；</w:t>
      </w:r>
    </w:p>
    <w:p>
      <w:pPr>
        <w:tabs>
          <w:tab w:val="left" w:pos="1035"/>
        </w:tabs>
        <w:snapToGrid w:val="0"/>
        <w:spacing w:line="360" w:lineRule="auto"/>
        <w:ind w:firstLine="480" w:firstLineChars="200"/>
        <w:rPr>
          <w:rStyle w:val="47"/>
          <w:rFonts w:hint="eastAsia" w:ascii="宋体" w:hAnsi="宋体" w:eastAsia="宋体" w:cs="宋体"/>
          <w:color w:val="auto"/>
          <w:sz w:val="24"/>
          <w:szCs w:val="24"/>
          <w:lang w:val="zh-CN"/>
        </w:rPr>
      </w:pPr>
      <w:r>
        <w:rPr>
          <w:rStyle w:val="47"/>
          <w:rFonts w:hint="eastAsia" w:ascii="宋体" w:hAnsi="宋体" w:eastAsia="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hint="eastAsia" w:ascii="宋体" w:hAnsi="宋体" w:eastAsia="宋体" w:cs="宋体"/>
          <w:color w:val="auto"/>
          <w:sz w:val="24"/>
          <w:szCs w:val="24"/>
          <w:lang w:val="zh-CN"/>
        </w:rPr>
      </w:pPr>
      <w:r>
        <w:rPr>
          <w:rStyle w:val="47"/>
          <w:rFonts w:hint="eastAsia" w:ascii="宋体" w:hAnsi="宋体" w:eastAsia="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7"/>
          <w:rFonts w:hint="eastAsia" w:ascii="宋体" w:hAnsi="宋体" w:eastAsia="宋体" w:cs="宋体"/>
          <w:color w:val="auto"/>
          <w:sz w:val="24"/>
          <w:szCs w:val="24"/>
          <w:lang w:val="zh-CN"/>
        </w:rPr>
      </w:pPr>
      <w:r>
        <w:rPr>
          <w:rStyle w:val="47"/>
          <w:rFonts w:hint="eastAsia" w:ascii="宋体" w:hAnsi="宋体" w:eastAsia="宋体" w:cs="宋体"/>
          <w:bCs/>
          <w:color w:val="auto"/>
          <w:sz w:val="24"/>
          <w:szCs w:val="24"/>
        </w:rPr>
        <w:t>1</w:t>
      </w:r>
      <w:r>
        <w:rPr>
          <w:rStyle w:val="47"/>
          <w:rFonts w:hint="eastAsia" w:ascii="宋体" w:hAnsi="宋体" w:eastAsia="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7"/>
          <w:rFonts w:hint="eastAsia" w:ascii="宋体" w:hAnsi="宋体" w:eastAsia="宋体" w:cs="宋体"/>
          <w:color w:val="auto"/>
          <w:sz w:val="24"/>
          <w:szCs w:val="24"/>
          <w:lang w:val="zh-CN"/>
        </w:rPr>
      </w:pPr>
      <w:r>
        <w:rPr>
          <w:rStyle w:val="47"/>
          <w:rFonts w:hint="eastAsia" w:ascii="宋体" w:hAnsi="宋体" w:eastAsia="宋体" w:cs="宋体"/>
          <w:bCs/>
          <w:color w:val="auto"/>
          <w:sz w:val="24"/>
          <w:szCs w:val="24"/>
        </w:rPr>
        <w:t>15.1</w:t>
      </w:r>
      <w:r>
        <w:rPr>
          <w:rStyle w:val="47"/>
          <w:rFonts w:hint="eastAsia" w:ascii="宋体" w:hAnsi="宋体" w:eastAsia="宋体" w:cs="宋体"/>
          <w:color w:val="auto"/>
          <w:sz w:val="24"/>
          <w:szCs w:val="24"/>
        </w:rPr>
        <w:t>投标人的服务承诺应按不低于招标文件中商务要求的标准。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15.2</w:t>
      </w:r>
      <w:r>
        <w:rPr>
          <w:rStyle w:val="47"/>
          <w:rFonts w:hint="eastAsia" w:ascii="宋体" w:hAnsi="宋体" w:eastAsia="宋体" w:cs="宋体"/>
          <w:color w:val="auto"/>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16、投标函和开标一览表</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16.1</w:t>
      </w:r>
      <w:r>
        <w:rPr>
          <w:rStyle w:val="47"/>
          <w:rFonts w:hint="eastAsia" w:ascii="宋体" w:hAnsi="宋体" w:eastAsia="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16.2开标一览表中的价格应与投标文件中投标配置与分项报价表中的价格一致，如不一致，</w:t>
      </w:r>
      <w:r>
        <w:rPr>
          <w:rStyle w:val="47"/>
          <w:rFonts w:hint="eastAsia" w:ascii="宋体" w:hAnsi="宋体" w:eastAsia="宋体" w:cs="宋体"/>
          <w:color w:val="auto"/>
          <w:sz w:val="24"/>
          <w:szCs w:val="24"/>
        </w:rPr>
        <w:t>不作为无效投标处理</w:t>
      </w:r>
      <w:r>
        <w:rPr>
          <w:rStyle w:val="47"/>
          <w:rFonts w:hint="eastAsia" w:ascii="宋体" w:hAnsi="宋体" w:eastAsia="宋体" w:cs="宋体"/>
          <w:bCs/>
          <w:color w:val="auto"/>
          <w:sz w:val="24"/>
          <w:szCs w:val="24"/>
        </w:rPr>
        <w:t>，但评标时按开标一览表中价格为准</w:t>
      </w:r>
      <w:r>
        <w:rPr>
          <w:rStyle w:val="47"/>
          <w:rFonts w:hint="eastAsia" w:ascii="宋体" w:hAnsi="宋体" w:eastAsia="宋体" w:cs="宋体"/>
          <w:b/>
          <w:bCs/>
          <w:color w:val="auto"/>
          <w:sz w:val="24"/>
          <w:szCs w:val="24"/>
        </w:rPr>
        <w:t>。</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17、投标有效期</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17.1</w:t>
      </w:r>
      <w:r>
        <w:rPr>
          <w:rStyle w:val="47"/>
          <w:rFonts w:hint="eastAsia" w:ascii="宋体" w:hAnsi="宋体" w:eastAsia="宋体" w:cs="宋体"/>
          <w:bCs/>
          <w:color w:val="auto"/>
          <w:sz w:val="24"/>
          <w:szCs w:val="24"/>
        </w:rPr>
        <w:t xml:space="preserve"> 投标有效期为采购人或采购代理机构规定的开标之日后</w:t>
      </w:r>
      <w:r>
        <w:rPr>
          <w:rStyle w:val="47"/>
          <w:rFonts w:hint="eastAsia" w:ascii="宋体" w:hAnsi="宋体" w:eastAsia="宋体" w:cs="宋体"/>
          <w:b/>
          <w:color w:val="auto"/>
          <w:sz w:val="24"/>
          <w:szCs w:val="24"/>
          <w:u w:val="single" w:color="000000"/>
        </w:rPr>
        <w:t>六十（60）天</w:t>
      </w:r>
      <w:r>
        <w:rPr>
          <w:rStyle w:val="47"/>
          <w:rFonts w:hint="eastAsia" w:ascii="宋体" w:hAnsi="宋体" w:eastAsia="宋体" w:cs="宋体"/>
          <w:bCs/>
          <w:color w:val="auto"/>
          <w:sz w:val="24"/>
          <w:szCs w:val="24"/>
        </w:rPr>
        <w:t>。投标有效期比规定短的将被视为非响应性投标而予以拒绝。</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17.2</w:t>
      </w:r>
      <w:r>
        <w:rPr>
          <w:rStyle w:val="47"/>
          <w:rFonts w:hint="eastAsia" w:ascii="宋体" w:hAnsi="宋体" w:eastAsia="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eastAsia="宋体" w:cs="宋体"/>
          <w:color w:val="auto"/>
          <w:sz w:val="24"/>
          <w:szCs w:val="24"/>
        </w:rPr>
        <w:t>。</w:t>
      </w:r>
      <w:r>
        <w:rPr>
          <w:rStyle w:val="47"/>
          <w:rFonts w:hint="eastAsia" w:ascii="宋体" w:hAnsi="宋体" w:eastAsia="宋体" w:cs="宋体"/>
          <w:bCs/>
          <w:color w:val="auto"/>
          <w:sz w:val="24"/>
          <w:szCs w:val="24"/>
        </w:rPr>
        <w:t>同意延长投标有效期的投标人既不能要求也不允许修改其投标文件。</w:t>
      </w:r>
      <w:r>
        <w:rPr>
          <w:rStyle w:val="47"/>
          <w:rFonts w:hint="eastAsia" w:ascii="宋体" w:hAnsi="宋体" w:eastAsia="宋体" w:cs="宋体"/>
          <w:color w:val="auto"/>
          <w:sz w:val="24"/>
          <w:szCs w:val="24"/>
        </w:rPr>
        <w:t>受投标有效期约束的所有权利与义务均延长至新的有效期</w:t>
      </w:r>
      <w:r>
        <w:rPr>
          <w:rStyle w:val="47"/>
          <w:rFonts w:hint="eastAsia" w:ascii="宋体" w:hAnsi="宋体" w:eastAsia="宋体" w:cs="宋体"/>
          <w:bCs/>
          <w:color w:val="auto"/>
          <w:sz w:val="24"/>
          <w:szCs w:val="24"/>
        </w:rPr>
        <w:t>。</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18、投标文件份数和签署</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18.1</w:t>
      </w:r>
      <w:r>
        <w:rPr>
          <w:rStyle w:val="47"/>
          <w:rFonts w:hint="eastAsia" w:ascii="宋体" w:hAnsi="宋体" w:eastAsia="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18.2投标文件正本中，</w:t>
      </w:r>
      <w:r>
        <w:rPr>
          <w:rStyle w:val="47"/>
          <w:rFonts w:hint="eastAsia" w:ascii="宋体" w:hAnsi="宋体" w:eastAsia="宋体" w:cs="宋体"/>
          <w:bCs/>
          <w:color w:val="auto"/>
          <w:sz w:val="24"/>
          <w:szCs w:val="24"/>
        </w:rPr>
        <w:t>招标文件要求必须提供原件的按照要求提供，文</w:t>
      </w:r>
      <w:r>
        <w:rPr>
          <w:rStyle w:val="47"/>
          <w:rFonts w:hint="eastAsia" w:ascii="宋体" w:hAnsi="宋体" w:eastAsia="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18.3</w:t>
      </w:r>
      <w:r>
        <w:rPr>
          <w:rStyle w:val="47"/>
          <w:rFonts w:hint="eastAsia" w:ascii="宋体" w:hAnsi="宋体" w:eastAsia="宋体" w:cs="宋体"/>
          <w:bCs/>
          <w:color w:val="auto"/>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四、投标文件的递交</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19、投标文件的密封和标记</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19.1</w:t>
      </w:r>
      <w:r>
        <w:rPr>
          <w:rStyle w:val="47"/>
          <w:rFonts w:hint="eastAsia" w:ascii="宋体" w:hAnsi="宋体" w:eastAsia="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19.2</w:t>
      </w:r>
      <w:r>
        <w:rPr>
          <w:rStyle w:val="47"/>
          <w:rFonts w:hint="eastAsia" w:ascii="宋体" w:hAnsi="宋体" w:eastAsia="宋体" w:cs="宋体"/>
          <w:bCs/>
          <w:color w:val="auto"/>
          <w:sz w:val="24"/>
          <w:szCs w:val="24"/>
        </w:rPr>
        <w:t xml:space="preserve"> 密封的投标文件应：</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19.2.2  注明投标项目名称、标书编号及包号。</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19.2.3</w:t>
      </w:r>
      <w:r>
        <w:rPr>
          <w:rStyle w:val="47"/>
          <w:rFonts w:hint="eastAsia" w:ascii="宋体" w:hAnsi="宋体" w:eastAsia="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20、投标截止日期</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20.1</w:t>
      </w:r>
      <w:r>
        <w:rPr>
          <w:rStyle w:val="47"/>
          <w:rFonts w:hint="eastAsia" w:ascii="宋体" w:hAnsi="宋体" w:eastAsia="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20.2</w:t>
      </w:r>
      <w:r>
        <w:rPr>
          <w:rStyle w:val="47"/>
          <w:rFonts w:hint="eastAsia" w:ascii="宋体" w:hAnsi="宋体" w:eastAsia="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21、迟交的投标文件</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21.1</w:t>
      </w:r>
      <w:r>
        <w:rPr>
          <w:rStyle w:val="47"/>
          <w:rFonts w:hint="eastAsia" w:ascii="宋体" w:hAnsi="宋体" w:eastAsia="宋体" w:cs="宋体"/>
          <w:bCs/>
          <w:color w:val="auto"/>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22、投标文件的修改和撤回</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22.1</w:t>
      </w:r>
      <w:r>
        <w:rPr>
          <w:rStyle w:val="47"/>
          <w:rFonts w:hint="eastAsia" w:ascii="宋体" w:hAnsi="宋体" w:eastAsia="宋体" w:cs="宋体"/>
          <w:bCs/>
          <w:color w:val="auto"/>
          <w:sz w:val="24"/>
          <w:szCs w:val="24"/>
        </w:rPr>
        <w:t xml:space="preserve"> 投标人在递交投标文件后，可以修改或撤回其投标文件，但这种修改和撤回，必须在规定的投标截止时间前，以书面形式</w:t>
      </w:r>
      <w:r>
        <w:rPr>
          <w:rStyle w:val="47"/>
          <w:rFonts w:hint="eastAsia" w:ascii="宋体" w:hAnsi="宋体" w:eastAsia="宋体" w:cs="宋体"/>
          <w:color w:val="auto"/>
          <w:sz w:val="24"/>
          <w:szCs w:val="24"/>
        </w:rPr>
        <w:t>通知采购人或采购代理机构，修改或撤回其投标文件。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22.2</w:t>
      </w:r>
      <w:r>
        <w:rPr>
          <w:rStyle w:val="47"/>
          <w:rFonts w:hint="eastAsia" w:ascii="宋体" w:hAnsi="宋体" w:eastAsia="宋体" w:cs="宋体"/>
          <w:bCs/>
          <w:color w:val="auto"/>
          <w:sz w:val="24"/>
          <w:szCs w:val="24"/>
        </w:rPr>
        <w:t xml:space="preserve"> 投标人的修改或撤回文件应按规定进行编制、密封、标记和发送，并应在封套上加注“修改”或“撤回”字样。</w:t>
      </w:r>
      <w:r>
        <w:rPr>
          <w:rStyle w:val="47"/>
          <w:rFonts w:hint="eastAsia" w:ascii="宋体" w:hAnsi="宋体" w:eastAsia="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22.3</w:t>
      </w:r>
      <w:r>
        <w:rPr>
          <w:rStyle w:val="47"/>
          <w:rFonts w:hint="eastAsia" w:ascii="宋体" w:hAnsi="宋体" w:eastAsia="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22.4</w:t>
      </w:r>
      <w:r>
        <w:rPr>
          <w:rStyle w:val="47"/>
          <w:rFonts w:hint="eastAsia" w:ascii="宋体" w:hAnsi="宋体" w:eastAsia="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五、开标与评标</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23、开标</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23.1</w:t>
      </w:r>
      <w:r>
        <w:rPr>
          <w:rStyle w:val="47"/>
          <w:rFonts w:hint="eastAsia" w:ascii="宋体" w:hAnsi="宋体" w:eastAsia="宋体" w:cs="宋体"/>
          <w:bCs/>
          <w:color w:val="auto"/>
          <w:sz w:val="24"/>
          <w:szCs w:val="24"/>
        </w:rPr>
        <w:t xml:space="preserve"> 采购人和采购代理机构将在招标公告中规定的时间和地点组织公开开标</w:t>
      </w:r>
      <w:r>
        <w:rPr>
          <w:rStyle w:val="47"/>
          <w:rFonts w:hint="eastAsia" w:ascii="宋体" w:hAnsi="宋体" w:eastAsia="宋体" w:cs="宋体"/>
          <w:color w:val="auto"/>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23.2</w:t>
      </w:r>
      <w:r>
        <w:rPr>
          <w:rFonts w:hint="eastAsia" w:ascii="宋体" w:hAnsi="宋体" w:eastAsia="宋体" w:cs="宋体"/>
          <w:color w:val="auto"/>
          <w:sz w:val="24"/>
          <w:szCs w:val="24"/>
        </w:rPr>
        <w:t>开标仪式由采购人或采购代理机构组织，采购人代表、公证员（必要时）、监管代表、投标人代表等参加。</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23.3</w:t>
      </w:r>
      <w:r>
        <w:rPr>
          <w:rStyle w:val="47"/>
          <w:rFonts w:hint="eastAsia" w:ascii="宋体" w:hAnsi="宋体" w:eastAsia="宋体" w:cs="宋体"/>
          <w:bCs/>
          <w:color w:val="auto"/>
          <w:sz w:val="24"/>
          <w:szCs w:val="24"/>
        </w:rPr>
        <w:t>按照规定同意撤回的投标将不予开封。</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24、资格审查</w:t>
      </w:r>
    </w:p>
    <w:p>
      <w:pPr>
        <w:adjustRightInd w:val="0"/>
        <w:snapToGrid w:val="0"/>
        <w:spacing w:line="360" w:lineRule="auto"/>
        <w:ind w:firstLine="480" w:firstLineChars="200"/>
        <w:jc w:val="left"/>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24.1</w:t>
      </w:r>
      <w:r>
        <w:rPr>
          <w:rFonts w:hint="eastAsia" w:ascii="宋体" w:hAnsi="宋体" w:eastAsia="宋体" w:cs="宋体"/>
          <w:b/>
          <w:color w:val="auto"/>
          <w:sz w:val="24"/>
          <w:szCs w:val="24"/>
        </w:rPr>
        <w:t>开标结束后，采购人或采购代理机构应当依法对投标人的资格进行审查。</w:t>
      </w:r>
      <w:r>
        <w:rPr>
          <w:rFonts w:hint="eastAsia" w:ascii="宋体" w:hAnsi="宋体" w:eastAsia="宋体" w:cs="宋体"/>
          <w:color w:val="auto"/>
          <w:sz w:val="24"/>
          <w:szCs w:val="24"/>
        </w:rPr>
        <w:t>（财政部87号令第44条规定）</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25、评标委员会</w:t>
      </w:r>
    </w:p>
    <w:p>
      <w:pPr>
        <w:snapToGrid w:val="0"/>
        <w:spacing w:line="360" w:lineRule="auto"/>
        <w:ind w:firstLine="480" w:firstLineChars="200"/>
        <w:rPr>
          <w:rStyle w:val="47"/>
          <w:rFonts w:hint="eastAsia" w:ascii="宋体" w:hAnsi="宋体" w:eastAsia="宋体" w:cs="宋体"/>
          <w:b/>
          <w:color w:val="auto"/>
          <w:sz w:val="24"/>
          <w:szCs w:val="24"/>
        </w:rPr>
      </w:pPr>
      <w:r>
        <w:rPr>
          <w:rStyle w:val="47"/>
          <w:rFonts w:hint="eastAsia" w:ascii="宋体" w:hAnsi="宋体" w:eastAsia="宋体" w:cs="宋体"/>
          <w:color w:val="auto"/>
          <w:sz w:val="24"/>
          <w:szCs w:val="24"/>
        </w:rPr>
        <w:t>25.1资格审查通过后，采购人将组织评标委员会（以下简称评委会）进行评标。</w:t>
      </w:r>
    </w:p>
    <w:p>
      <w:pPr>
        <w:widowControl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26、评标过程的保密与公正</w:t>
      </w:r>
    </w:p>
    <w:p>
      <w:pPr>
        <w:widowControl w:val="0"/>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26.1</w:t>
      </w:r>
      <w:r>
        <w:rPr>
          <w:rStyle w:val="47"/>
          <w:rFonts w:hint="eastAsia" w:ascii="宋体" w:hAnsi="宋体" w:eastAsia="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27、投标的澄清</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28、对投标文件的评审</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28.1</w:t>
      </w:r>
      <w:r>
        <w:rPr>
          <w:rStyle w:val="47"/>
          <w:rFonts w:hint="eastAsia" w:ascii="宋体" w:hAnsi="宋体" w:eastAsia="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eastAsia="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28.3</w:t>
      </w:r>
      <w:r>
        <w:rPr>
          <w:rStyle w:val="47"/>
          <w:rFonts w:hint="eastAsia" w:ascii="宋体" w:hAnsi="宋体" w:eastAsia="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28.4</w:t>
      </w:r>
      <w:r>
        <w:rPr>
          <w:rStyle w:val="47"/>
          <w:rFonts w:hint="eastAsia" w:ascii="宋体" w:hAnsi="宋体" w:eastAsia="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（2）大写金额和小写金额不一致的，以大写金额为准。</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（4）总价金额与按单价汇总金额不一致的，以单价金额计算结果为准。</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同时出现两种以上错误的，按照前款规定的顺序修正。</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28.5</w:t>
      </w:r>
      <w:r>
        <w:rPr>
          <w:rStyle w:val="47"/>
          <w:rFonts w:hint="eastAsia" w:ascii="宋体" w:hAnsi="宋体" w:eastAsia="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color w:val="auto"/>
          <w:sz w:val="24"/>
          <w:szCs w:val="24"/>
        </w:rPr>
        <w:t>28.6</w:t>
      </w:r>
      <w:r>
        <w:rPr>
          <w:rStyle w:val="47"/>
          <w:rFonts w:hint="eastAsia" w:ascii="宋体" w:hAnsi="宋体" w:eastAsia="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28.7</w:t>
      </w:r>
      <w:r>
        <w:rPr>
          <w:rStyle w:val="47"/>
          <w:rFonts w:hint="eastAsia" w:ascii="宋体" w:hAnsi="宋体" w:eastAsia="宋体" w:cs="宋体"/>
          <w:b/>
          <w:color w:val="auto"/>
          <w:sz w:val="24"/>
          <w:szCs w:val="24"/>
        </w:rPr>
        <w:t>采用最低评标价法的采购项目，</w:t>
      </w:r>
      <w:r>
        <w:rPr>
          <w:rStyle w:val="47"/>
          <w:rFonts w:hint="eastAsia" w:ascii="宋体" w:hAnsi="宋体" w:eastAsia="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b/>
          <w:color w:val="auto"/>
          <w:sz w:val="24"/>
          <w:szCs w:val="24"/>
        </w:rPr>
        <w:t>使用综合评分法的采购项目，</w:t>
      </w:r>
      <w:r>
        <w:rPr>
          <w:rStyle w:val="47"/>
          <w:rFonts w:hint="eastAsia" w:ascii="宋体" w:hAnsi="宋体" w:eastAsia="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b/>
          <w:color w:val="auto"/>
          <w:sz w:val="24"/>
          <w:szCs w:val="24"/>
        </w:rPr>
        <w:t>非单一产品采购项目，</w:t>
      </w:r>
      <w:r>
        <w:rPr>
          <w:rStyle w:val="47"/>
          <w:rFonts w:hint="eastAsia" w:ascii="宋体" w:hAnsi="宋体" w:eastAsia="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hint="eastAsia" w:ascii="宋体" w:hAnsi="宋体" w:eastAsia="宋体" w:cs="宋体"/>
          <w:b w:val="0"/>
          <w:bCs/>
          <w:color w:val="auto"/>
          <w:sz w:val="24"/>
          <w:szCs w:val="24"/>
        </w:rPr>
      </w:pPr>
      <w:r>
        <w:rPr>
          <w:rStyle w:val="47"/>
          <w:rFonts w:hint="eastAsia" w:ascii="宋体" w:hAnsi="宋体" w:eastAsia="宋体" w:cs="宋体"/>
          <w:b w:val="0"/>
          <w:bCs/>
          <w:color w:val="auto"/>
          <w:sz w:val="24"/>
          <w:szCs w:val="24"/>
        </w:rPr>
        <w:t>29、无效投标条款和废标条款</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29.1无效投标条款</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29.1.1未按要求交纳投标保证金的（本项目无要求）；</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29.1.2未按照招标文件规定要求密封、签署、盖章的；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29.1.3投标人在报价时采用选择性报价；</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29.1.4投标人不具备招标文件中规定资格要求的；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29.1.5投标人的报价超过了采购预算或最高限价的；</w:t>
      </w:r>
    </w:p>
    <w:p>
      <w:pPr>
        <w:snapToGrid w:val="0"/>
        <w:spacing w:line="360" w:lineRule="auto"/>
        <w:ind w:firstLine="480" w:firstLineChars="200"/>
        <w:rPr>
          <w:rStyle w:val="47"/>
          <w:rFonts w:hint="eastAsia" w:ascii="宋体" w:hAnsi="宋体" w:eastAsia="宋体" w:cs="宋体"/>
          <w:bCs/>
          <w:i/>
          <w:color w:val="auto"/>
          <w:sz w:val="24"/>
          <w:szCs w:val="24"/>
          <w:u w:val="single" w:color="000000"/>
        </w:rPr>
      </w:pPr>
      <w:r>
        <w:rPr>
          <w:rStyle w:val="47"/>
          <w:rFonts w:hint="eastAsia" w:ascii="宋体" w:hAnsi="宋体" w:eastAsia="宋体" w:cs="宋体"/>
          <w:bCs/>
          <w:color w:val="auto"/>
          <w:sz w:val="24"/>
          <w:szCs w:val="24"/>
        </w:rPr>
        <w:t>29.1.6未通过符合性检查的；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29.1.7不符合招标文件中规定的其他实质性要求和条件的；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29.1.8 投标人串通投标；</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29.1.9  投标文件含有采购人不能接受的附加条件的。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29.1.11其他法律、法规及本招标文件规定的属无效投标的情形。</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 xml:space="preserve">29.2废标条款：                                                                                                                                                                                                                                                                                                                                                                                                                                                                                                                                                                                                                                                                                                                                                                                                                                                                                                                                                                                                                                                                                                                                                                                                                                                                                                                                                                                                                                                                         </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29.2.2出现影响采购公正的违法、违规行为的；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29.2.3因重大变故，采购任务取消的；</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29.3 投标截止时间结束后参加投标的供应商不足三家的处理：</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六、定标</w:t>
      </w:r>
    </w:p>
    <w:p>
      <w:pPr>
        <w:pStyle w:val="41"/>
        <w:snapToGrid w:val="0"/>
        <w:spacing w:before="0" w:after="0" w:line="360" w:lineRule="auto"/>
        <w:ind w:firstLine="480" w:firstLineChars="200"/>
        <w:rPr>
          <w:rStyle w:val="47"/>
          <w:rFonts w:hint="eastAsia" w:ascii="宋体" w:hAnsi="宋体" w:eastAsia="宋体" w:cs="宋体"/>
          <w:b w:val="0"/>
          <w:color w:val="auto"/>
          <w:sz w:val="24"/>
          <w:szCs w:val="24"/>
        </w:rPr>
      </w:pPr>
      <w:r>
        <w:rPr>
          <w:rStyle w:val="47"/>
          <w:rFonts w:hint="eastAsia" w:ascii="宋体" w:hAnsi="宋体" w:eastAsia="宋体" w:cs="宋体"/>
          <w:b w:val="0"/>
          <w:color w:val="auto"/>
          <w:sz w:val="24"/>
          <w:szCs w:val="24"/>
        </w:rPr>
        <w:t>30、确定中标单位</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30.2 采购人应根据评委会推荐的中标候选人确定中标供应商。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30.3采购人</w:t>
      </w:r>
      <w:r>
        <w:rPr>
          <w:rStyle w:val="47"/>
          <w:rFonts w:hint="eastAsia" w:ascii="宋体" w:hAnsi="宋体" w:eastAsia="宋体" w:cs="宋体"/>
          <w:color w:val="auto"/>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30</w:t>
      </w:r>
      <w:r>
        <w:rPr>
          <w:rStyle w:val="47"/>
          <w:rFonts w:hint="eastAsia" w:ascii="宋体" w:hAnsi="宋体" w:eastAsia="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30</w:t>
      </w:r>
      <w:r>
        <w:rPr>
          <w:rStyle w:val="47"/>
          <w:rFonts w:hint="eastAsia" w:ascii="宋体" w:hAnsi="宋体" w:eastAsia="宋体" w:cs="宋体"/>
          <w:color w:val="auto"/>
          <w:sz w:val="24"/>
          <w:szCs w:val="24"/>
        </w:rPr>
        <w:t>.4.1提供虚假材料谋取中标的；</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30</w:t>
      </w:r>
      <w:r>
        <w:rPr>
          <w:rStyle w:val="47"/>
          <w:rFonts w:hint="eastAsia" w:ascii="宋体" w:hAnsi="宋体" w:eastAsia="宋体" w:cs="宋体"/>
          <w:color w:val="auto"/>
          <w:sz w:val="24"/>
          <w:szCs w:val="24"/>
        </w:rPr>
        <w:t>.4.2向采购人或采购代理机构行贿或者提供其他不正当利益的；</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30</w:t>
      </w:r>
      <w:r>
        <w:rPr>
          <w:rStyle w:val="47"/>
          <w:rFonts w:hint="eastAsia" w:ascii="宋体" w:hAnsi="宋体" w:eastAsia="宋体" w:cs="宋体"/>
          <w:color w:val="auto"/>
          <w:sz w:val="24"/>
          <w:szCs w:val="24"/>
        </w:rPr>
        <w:t>.4.3恶意竞争，投标总报价明显低于其自身合理成本且又无法提供证明的；</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30.4.4属于本文件规定的无效条件，但在评标过程中又未被评委会发现的；</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30.4.5与采购人或者其他供应商恶意串通的；</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30.4.6采取不正当手段诋毁、排挤其他供应商的；</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30.4.7不符合法律、法规的规定的。</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 xml:space="preserve">30.5. </w:t>
      </w:r>
      <w:r>
        <w:rPr>
          <w:rStyle w:val="47"/>
          <w:rFonts w:hint="eastAsia" w:ascii="宋体" w:hAnsi="宋体" w:eastAsia="宋体" w:cs="宋体"/>
          <w:color w:val="auto"/>
          <w:kern w:val="0"/>
          <w:sz w:val="24"/>
          <w:szCs w:val="24"/>
        </w:rPr>
        <w:t>有下列情形之一的，视为投标人串通投标，投标无效：</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30.5.1不同投标人的投标文件由同一单位或者个人编制。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30.5.2不同投标人委托同一单位或者个人办理投标事宜。</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30.5.3 不同投标人的投标文件载明的项目管理成员或者联系人员为同一人。</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30.5.4不同投标人的投标文件异常一致或者投标报价呈规律性差异。</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30.5.5不同投标人的投标文件相互混装。</w:t>
      </w:r>
    </w:p>
    <w:p>
      <w:pPr>
        <w:pStyle w:val="41"/>
        <w:tabs>
          <w:tab w:val="left" w:pos="4120"/>
        </w:tabs>
        <w:snapToGrid w:val="0"/>
        <w:spacing w:before="0" w:after="0" w:line="360" w:lineRule="auto"/>
        <w:ind w:firstLine="480" w:firstLineChars="200"/>
        <w:rPr>
          <w:rStyle w:val="47"/>
          <w:rFonts w:hint="eastAsia" w:ascii="宋体" w:hAnsi="宋体" w:eastAsia="宋体" w:cs="宋体"/>
          <w:b w:val="0"/>
          <w:color w:val="auto"/>
          <w:sz w:val="24"/>
          <w:szCs w:val="24"/>
        </w:rPr>
      </w:pPr>
      <w:r>
        <w:rPr>
          <w:rStyle w:val="47"/>
          <w:rFonts w:hint="eastAsia" w:ascii="宋体" w:hAnsi="宋体" w:eastAsia="宋体" w:cs="宋体"/>
          <w:b w:val="0"/>
          <w:color w:val="auto"/>
          <w:sz w:val="24"/>
          <w:szCs w:val="24"/>
        </w:rPr>
        <w:t>31、质疑处理</w:t>
      </w:r>
      <w:r>
        <w:rPr>
          <w:rStyle w:val="47"/>
          <w:rFonts w:hint="eastAsia" w:ascii="宋体" w:hAnsi="宋体" w:eastAsia="宋体" w:cs="宋体"/>
          <w:b w:val="0"/>
          <w:color w:val="auto"/>
          <w:sz w:val="24"/>
          <w:szCs w:val="24"/>
        </w:rPr>
        <w:tab/>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hint="eastAsia" w:ascii="宋体" w:hAnsi="宋体" w:eastAsia="宋体" w:cs="宋体"/>
          <w:color w:val="auto"/>
          <w:kern w:val="0"/>
          <w:sz w:val="24"/>
          <w:szCs w:val="24"/>
        </w:rPr>
      </w:pPr>
      <w:r>
        <w:rPr>
          <w:rStyle w:val="47"/>
          <w:rFonts w:hint="eastAsia" w:ascii="宋体" w:hAnsi="宋体" w:eastAsia="宋体" w:cs="宋体"/>
          <w:color w:val="auto"/>
          <w:sz w:val="24"/>
          <w:szCs w:val="24"/>
        </w:rPr>
        <w:t>31.1.1</w:t>
      </w:r>
      <w:r>
        <w:rPr>
          <w:rStyle w:val="47"/>
          <w:rFonts w:hint="eastAsia" w:ascii="宋体" w:hAnsi="宋体" w:eastAsia="宋体" w:cs="宋体"/>
          <w:color w:val="auto"/>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hint="eastAsia" w:ascii="宋体" w:hAnsi="宋体" w:eastAsia="宋体" w:cs="宋体"/>
          <w:color w:val="auto"/>
          <w:kern w:val="0"/>
          <w:sz w:val="24"/>
          <w:szCs w:val="24"/>
        </w:rPr>
      </w:pPr>
      <w:r>
        <w:rPr>
          <w:rStyle w:val="47"/>
          <w:rFonts w:hint="eastAsia" w:ascii="宋体" w:hAnsi="宋体" w:eastAsia="宋体" w:cs="宋体"/>
          <w:color w:val="auto"/>
          <w:kern w:val="0"/>
          <w:sz w:val="24"/>
          <w:szCs w:val="24"/>
        </w:rPr>
        <w:t>　　</w:t>
      </w:r>
      <w:r>
        <w:rPr>
          <w:rStyle w:val="47"/>
          <w:rFonts w:hint="eastAsia" w:ascii="宋体" w:hAnsi="宋体" w:eastAsia="宋体" w:cs="宋体"/>
          <w:color w:val="auto"/>
          <w:sz w:val="24"/>
          <w:szCs w:val="24"/>
        </w:rPr>
        <w:t>31.1.2</w:t>
      </w:r>
      <w:r>
        <w:rPr>
          <w:rStyle w:val="47"/>
          <w:rFonts w:hint="eastAsia" w:ascii="宋体" w:hAnsi="宋体" w:eastAsia="宋体" w:cs="宋体"/>
          <w:color w:val="auto"/>
          <w:kern w:val="0"/>
          <w:sz w:val="24"/>
          <w:szCs w:val="24"/>
        </w:rPr>
        <w:t>对采购过程提出质疑的，为各采购程序环节结束之日；</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kern w:val="0"/>
          <w:sz w:val="24"/>
          <w:szCs w:val="24"/>
        </w:rPr>
        <w:t>　　</w:t>
      </w:r>
      <w:r>
        <w:rPr>
          <w:rStyle w:val="47"/>
          <w:rFonts w:hint="eastAsia" w:ascii="宋体" w:hAnsi="宋体" w:eastAsia="宋体" w:cs="宋体"/>
          <w:color w:val="auto"/>
          <w:sz w:val="24"/>
          <w:szCs w:val="24"/>
        </w:rPr>
        <w:t>31.1.3</w:t>
      </w:r>
      <w:r>
        <w:rPr>
          <w:rStyle w:val="47"/>
          <w:rFonts w:hint="eastAsia" w:ascii="宋体" w:hAnsi="宋体" w:eastAsia="宋体" w:cs="宋体"/>
          <w:color w:val="auto"/>
          <w:kern w:val="0"/>
          <w:sz w:val="24"/>
          <w:szCs w:val="24"/>
        </w:rPr>
        <w:t>对中标结果提出质疑的，为中标结果公告期限届满之日。</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31.4质疑函应当包括下列内容：</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31.4.1质疑投标人的名称、地址、邮编、联系人、联系电话；</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31.4.2具体的质疑事项及明确的请求；</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31.4.3认为自己合法权益受到损害或可能受到损害的相关证据材料；</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31.4.4提起质疑的日期；</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hint="eastAsia" w:ascii="宋体" w:hAnsi="宋体" w:eastAsia="宋体" w:cs="宋体"/>
          <w:b w:val="0"/>
          <w:color w:val="auto"/>
          <w:sz w:val="24"/>
          <w:szCs w:val="24"/>
        </w:rPr>
      </w:pPr>
      <w:r>
        <w:rPr>
          <w:rStyle w:val="47"/>
          <w:rFonts w:hint="eastAsia" w:ascii="宋体" w:hAnsi="宋体" w:eastAsia="宋体" w:cs="宋体"/>
          <w:b w:val="0"/>
          <w:color w:val="auto"/>
          <w:sz w:val="24"/>
          <w:szCs w:val="24"/>
        </w:rPr>
        <w:t>32、中标通知书</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32.l中标结果确定后，采购人将向中标供应商发出中标通知书。</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七、合同签订相关事项</w:t>
      </w:r>
    </w:p>
    <w:p>
      <w:pPr>
        <w:pStyle w:val="41"/>
        <w:snapToGrid w:val="0"/>
        <w:spacing w:before="0" w:after="0" w:line="360" w:lineRule="auto"/>
        <w:ind w:firstLine="480" w:firstLineChars="200"/>
        <w:rPr>
          <w:rStyle w:val="47"/>
          <w:rFonts w:hint="eastAsia" w:ascii="宋体" w:hAnsi="宋体" w:eastAsia="宋体" w:cs="宋体"/>
          <w:b w:val="0"/>
          <w:color w:val="auto"/>
          <w:sz w:val="24"/>
          <w:szCs w:val="24"/>
        </w:rPr>
      </w:pPr>
      <w:r>
        <w:rPr>
          <w:rStyle w:val="47"/>
          <w:rFonts w:hint="eastAsia" w:ascii="宋体" w:hAnsi="宋体" w:eastAsia="宋体" w:cs="宋体"/>
          <w:b w:val="0"/>
          <w:color w:val="auto"/>
          <w:sz w:val="24"/>
          <w:szCs w:val="24"/>
        </w:rPr>
        <w:t>33. 签订合同</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bCs/>
          <w:color w:val="auto"/>
          <w:sz w:val="24"/>
          <w:szCs w:val="24"/>
        </w:rPr>
        <w:t>33</w:t>
      </w:r>
      <w:r>
        <w:rPr>
          <w:rStyle w:val="47"/>
          <w:rFonts w:hint="eastAsia" w:ascii="宋体" w:hAnsi="宋体" w:eastAsia="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hint="eastAsia" w:ascii="宋体" w:hAnsi="宋体" w:eastAsia="宋体" w:cs="宋体"/>
          <w:b w:val="0"/>
          <w:color w:val="auto"/>
          <w:sz w:val="24"/>
          <w:szCs w:val="24"/>
        </w:rPr>
      </w:pPr>
      <w:r>
        <w:rPr>
          <w:rStyle w:val="47"/>
          <w:rFonts w:hint="eastAsia" w:ascii="宋体" w:hAnsi="宋体" w:eastAsia="宋体" w:cs="宋体"/>
          <w:b w:val="0"/>
          <w:color w:val="auto"/>
          <w:sz w:val="24"/>
          <w:szCs w:val="24"/>
        </w:rPr>
        <w:t>34、货物和服务的追加、减少和添购。</w:t>
      </w:r>
    </w:p>
    <w:p>
      <w:pPr>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hint="eastAsia" w:ascii="宋体" w:hAnsi="宋体" w:eastAsia="宋体" w:cs="宋体"/>
          <w:b/>
          <w:color w:val="auto"/>
          <w:sz w:val="24"/>
          <w:szCs w:val="24"/>
        </w:rPr>
      </w:pPr>
      <w:r>
        <w:rPr>
          <w:rStyle w:val="47"/>
          <w:rFonts w:hint="eastAsia" w:ascii="宋体" w:hAnsi="宋体" w:eastAsia="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hint="eastAsia" w:ascii="宋体" w:hAnsi="宋体" w:eastAsia="宋体" w:cs="宋体"/>
          <w:bCs/>
          <w:color w:val="auto"/>
          <w:sz w:val="24"/>
          <w:szCs w:val="24"/>
        </w:rPr>
      </w:pPr>
      <w:r>
        <w:rPr>
          <w:rStyle w:val="47"/>
          <w:rFonts w:hint="eastAsia" w:ascii="宋体" w:hAnsi="宋体" w:eastAsia="宋体" w:cs="宋体"/>
          <w:bCs/>
          <w:color w:val="auto"/>
          <w:sz w:val="24"/>
          <w:szCs w:val="24"/>
        </w:rPr>
        <w:t>35、履约保证金</w:t>
      </w:r>
    </w:p>
    <w:p>
      <w:pPr>
        <w:tabs>
          <w:tab w:val="left" w:pos="900"/>
        </w:tabs>
        <w:snapToGrid w:val="0"/>
        <w:spacing w:line="360" w:lineRule="auto"/>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napToGrid w:val="0"/>
        <w:spacing w:line="360" w:lineRule="auto"/>
        <w:ind w:firstLine="480" w:firstLineChars="200"/>
        <w:rPr>
          <w:rStyle w:val="47"/>
          <w:rFonts w:hint="eastAsia" w:ascii="宋体" w:hAnsi="宋体" w:eastAsia="宋体" w:cs="宋体"/>
          <w:color w:val="auto"/>
          <w:sz w:val="24"/>
          <w:szCs w:val="24"/>
        </w:rPr>
      </w:pPr>
    </w:p>
    <w:p>
      <w:pPr>
        <w:pStyle w:val="10"/>
        <w:rPr>
          <w:rStyle w:val="47"/>
          <w:rFonts w:hint="eastAsia" w:ascii="宋体" w:hAnsi="宋体" w:eastAsia="宋体" w:cs="宋体"/>
          <w:color w:val="auto"/>
          <w:sz w:val="24"/>
          <w:szCs w:val="24"/>
        </w:rPr>
      </w:pPr>
    </w:p>
    <w:p>
      <w:pPr>
        <w:rPr>
          <w:rStyle w:val="47"/>
          <w:rFonts w:hint="eastAsia" w:ascii="宋体" w:hAnsi="宋体" w:eastAsia="宋体" w:cs="宋体"/>
          <w:color w:val="auto"/>
          <w:sz w:val="24"/>
          <w:szCs w:val="24"/>
        </w:rPr>
      </w:pPr>
    </w:p>
    <w:p>
      <w:pPr>
        <w:pStyle w:val="10"/>
        <w:rPr>
          <w:rFonts w:hint="eastAsia" w:ascii="宋体" w:hAnsi="宋体" w:eastAsia="宋体" w:cs="宋体"/>
          <w:color w:val="auto"/>
        </w:rPr>
      </w:pPr>
    </w:p>
    <w:p>
      <w:pPr>
        <w:rPr>
          <w:rStyle w:val="47"/>
          <w:rFonts w:hint="eastAsia" w:ascii="宋体" w:hAnsi="宋体" w:eastAsia="宋体" w:cs="宋体"/>
          <w:b/>
          <w:color w:val="auto"/>
          <w:sz w:val="44"/>
        </w:rPr>
      </w:pPr>
    </w:p>
    <w:p>
      <w:pPr>
        <w:pStyle w:val="30"/>
        <w:rPr>
          <w:rFonts w:hint="eastAsia" w:ascii="宋体" w:hAnsi="宋体" w:eastAsia="宋体" w:cs="宋体"/>
          <w:color w:val="auto"/>
        </w:rPr>
      </w:pPr>
    </w:p>
    <w:p>
      <w:pPr>
        <w:pStyle w:val="31"/>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pStyle w:val="2"/>
        <w:ind w:firstLine="0" w:firstLineChars="0"/>
        <w:rPr>
          <w:rStyle w:val="47"/>
          <w:rFonts w:hint="eastAsia" w:ascii="宋体" w:hAnsi="宋体" w:eastAsia="宋体" w:cs="宋体"/>
          <w:b/>
          <w:color w:val="auto"/>
          <w:sz w:val="44"/>
          <w:szCs w:val="21"/>
        </w:rPr>
      </w:pPr>
    </w:p>
    <w:p>
      <w:pPr>
        <w:pStyle w:val="10"/>
        <w:rPr>
          <w:rStyle w:val="47"/>
          <w:rFonts w:hint="eastAsia" w:ascii="宋体" w:hAnsi="宋体" w:eastAsia="宋体" w:cs="宋体"/>
          <w:b/>
          <w:color w:val="auto"/>
          <w:sz w:val="44"/>
          <w:szCs w:val="21"/>
        </w:rPr>
      </w:pPr>
    </w:p>
    <w:p>
      <w:pPr>
        <w:rPr>
          <w:rStyle w:val="47"/>
          <w:rFonts w:hint="eastAsia" w:ascii="宋体" w:hAnsi="宋体" w:eastAsia="宋体" w:cs="宋体"/>
          <w:b/>
          <w:color w:val="auto"/>
          <w:sz w:val="44"/>
        </w:rPr>
      </w:pPr>
    </w:p>
    <w:p>
      <w:pPr>
        <w:pStyle w:val="32"/>
        <w:ind w:left="1470" w:right="1470"/>
        <w:rPr>
          <w:rFonts w:hint="eastAsia" w:ascii="宋体" w:hAnsi="宋体" w:eastAsia="宋体" w:cs="宋体"/>
          <w:color w:val="auto"/>
        </w:rPr>
      </w:pPr>
    </w:p>
    <w:p>
      <w:pPr>
        <w:pStyle w:val="37"/>
        <w:outlineLvl w:val="0"/>
        <w:rPr>
          <w:rStyle w:val="47"/>
          <w:rFonts w:hint="eastAsia" w:ascii="宋体" w:hAnsi="宋体" w:eastAsia="宋体" w:cs="宋体"/>
          <w:b/>
          <w:color w:val="auto"/>
          <w:sz w:val="44"/>
        </w:rPr>
      </w:pPr>
      <w:bookmarkStart w:id="4" w:name="_Toc19468"/>
      <w:r>
        <w:rPr>
          <w:rStyle w:val="47"/>
          <w:rFonts w:hint="eastAsia" w:ascii="宋体" w:hAnsi="宋体" w:eastAsia="宋体" w:cs="宋体"/>
          <w:b/>
          <w:color w:val="auto"/>
          <w:sz w:val="44"/>
        </w:rPr>
        <w:t>第三章  合同条款及格式</w:t>
      </w:r>
      <w:bookmarkEnd w:id="4"/>
    </w:p>
    <w:p>
      <w:pPr>
        <w:spacing w:line="440" w:lineRule="exact"/>
        <w:ind w:firstLine="480" w:firstLineChars="200"/>
        <w:rPr>
          <w:rStyle w:val="47"/>
          <w:rFonts w:hint="eastAsia" w:ascii="宋体" w:hAnsi="宋体" w:eastAsia="宋体" w:cs="宋体"/>
          <w:bCs/>
          <w:color w:val="auto"/>
          <w:sz w:val="24"/>
        </w:rPr>
      </w:pPr>
      <w:r>
        <w:rPr>
          <w:rStyle w:val="47"/>
          <w:rFonts w:hint="eastAsia" w:ascii="宋体" w:hAnsi="宋体" w:eastAsia="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hint="eastAsia" w:ascii="宋体" w:hAnsi="宋体" w:eastAsia="宋体" w:cs="宋体"/>
          <w:b/>
          <w:bCs/>
          <w:color w:val="auto"/>
          <w:sz w:val="30"/>
          <w:szCs w:val="20"/>
        </w:rPr>
      </w:pPr>
      <w:bookmarkStart w:id="5" w:name="_Toc17926"/>
      <w:r>
        <w:rPr>
          <w:rStyle w:val="47"/>
          <w:rFonts w:hint="eastAsia" w:ascii="宋体" w:hAnsi="宋体" w:eastAsia="宋体" w:cs="宋体"/>
          <w:b/>
          <w:color w:val="auto"/>
          <w:sz w:val="30"/>
        </w:rPr>
        <w:t>政府采购合同（货物格式）</w:t>
      </w:r>
    </w:p>
    <w:p>
      <w:pPr>
        <w:pStyle w:val="73"/>
        <w:snapToGrid w:val="0"/>
        <w:spacing w:line="420" w:lineRule="exact"/>
        <w:ind w:firstLine="480" w:firstLineChars="200"/>
        <w:jc w:val="left"/>
        <w:rPr>
          <w:rStyle w:val="47"/>
          <w:rFonts w:hint="eastAsia" w:ascii="宋体" w:hAnsi="宋体" w:eastAsia="宋体" w:cs="宋体"/>
          <w:color w:val="auto"/>
          <w:sz w:val="24"/>
          <w:szCs w:val="24"/>
          <w:u w:val="single" w:color="000000"/>
        </w:rPr>
      </w:pPr>
      <w:r>
        <w:rPr>
          <w:rStyle w:val="47"/>
          <w:rFonts w:hint="eastAsia" w:ascii="宋体" w:hAnsi="宋体" w:eastAsia="宋体" w:cs="宋体"/>
          <w:color w:val="auto"/>
          <w:sz w:val="24"/>
          <w:szCs w:val="24"/>
        </w:rPr>
        <w:t>项目名称：</w:t>
      </w:r>
      <w:r>
        <w:rPr>
          <w:rStyle w:val="47"/>
          <w:rFonts w:hint="eastAsia" w:ascii="宋体" w:hAnsi="宋体" w:eastAsia="宋体" w:cs="宋体"/>
          <w:color w:val="auto"/>
          <w:sz w:val="24"/>
          <w:szCs w:val="24"/>
          <w:u w:val="single" w:color="000000"/>
        </w:rPr>
        <w:t>盐城工业职业技术学院安防监控</w:t>
      </w:r>
    </w:p>
    <w:p>
      <w:pPr>
        <w:pStyle w:val="73"/>
        <w:snapToGrid w:val="0"/>
        <w:spacing w:line="420" w:lineRule="exact"/>
        <w:ind w:firstLine="480" w:firstLineChars="200"/>
        <w:jc w:val="left"/>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项目编号：</w:t>
      </w:r>
    </w:p>
    <w:p>
      <w:pPr>
        <w:pStyle w:val="73"/>
        <w:snapToGrid w:val="0"/>
        <w:spacing w:line="420" w:lineRule="exact"/>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甲方：（买方）</w:t>
      </w:r>
      <w:r>
        <w:rPr>
          <w:rStyle w:val="47"/>
          <w:rFonts w:hint="eastAsia" w:ascii="宋体" w:hAnsi="宋体" w:eastAsia="宋体" w:cs="宋体"/>
          <w:color w:val="auto"/>
          <w:sz w:val="24"/>
          <w:szCs w:val="24"/>
          <w:u w:val="single" w:color="000000"/>
        </w:rPr>
        <w:t>盐城工业职业技术学院</w:t>
      </w:r>
    </w:p>
    <w:p>
      <w:pPr>
        <w:pStyle w:val="73"/>
        <w:snapToGrid w:val="0"/>
        <w:spacing w:line="420" w:lineRule="exact"/>
        <w:ind w:firstLine="480" w:firstLineChars="200"/>
        <w:rPr>
          <w:rStyle w:val="47"/>
          <w:rFonts w:hint="eastAsia" w:ascii="宋体" w:hAnsi="宋体" w:eastAsia="宋体" w:cs="宋体"/>
          <w:color w:val="auto"/>
          <w:sz w:val="24"/>
          <w:szCs w:val="24"/>
        </w:rPr>
      </w:pPr>
      <w:r>
        <w:rPr>
          <w:rStyle w:val="47"/>
          <w:rFonts w:hint="eastAsia" w:ascii="宋体" w:hAnsi="宋体" w:eastAsia="宋体" w:cs="宋体"/>
          <w:color w:val="auto"/>
          <w:sz w:val="24"/>
          <w:szCs w:val="24"/>
        </w:rPr>
        <w:t>乙方：（卖方）</w:t>
      </w:r>
    </w:p>
    <w:p>
      <w:pPr>
        <w:spacing w:line="420" w:lineRule="exact"/>
        <w:ind w:firstLine="480" w:firstLineChars="200"/>
        <w:rPr>
          <w:rStyle w:val="47"/>
          <w:rFonts w:hint="eastAsia" w:ascii="宋体" w:hAnsi="宋体" w:eastAsia="宋体" w:cs="宋体"/>
          <w:b/>
          <w:color w:val="auto"/>
          <w:sz w:val="24"/>
          <w:szCs w:val="24"/>
        </w:rPr>
      </w:pPr>
      <w:r>
        <w:rPr>
          <w:rStyle w:val="47"/>
          <w:rFonts w:hint="eastAsia" w:ascii="宋体" w:hAnsi="宋体" w:eastAsia="宋体" w:cs="宋体"/>
          <w:color w:val="auto"/>
          <w:sz w:val="24"/>
          <w:szCs w:val="24"/>
        </w:rPr>
        <w:t>甲、乙双方根据</w:t>
      </w:r>
      <w:r>
        <w:rPr>
          <w:rStyle w:val="47"/>
          <w:rFonts w:hint="eastAsia" w:ascii="宋体" w:hAnsi="宋体" w:eastAsia="宋体" w:cs="宋体"/>
          <w:color w:val="auto"/>
          <w:sz w:val="24"/>
          <w:szCs w:val="24"/>
          <w:u w:val="single" w:color="000000"/>
        </w:rPr>
        <w:t>盐城工业职业技术学院安防监控</w:t>
      </w:r>
      <w:r>
        <w:rPr>
          <w:rStyle w:val="47"/>
          <w:rFonts w:hint="eastAsia" w:ascii="宋体" w:hAnsi="宋体" w:eastAsia="宋体" w:cs="宋体"/>
          <w:color w:val="auto"/>
          <w:sz w:val="24"/>
          <w:szCs w:val="24"/>
        </w:rPr>
        <w:t>公开招标的结果，签署本合同。</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color w:val="auto"/>
          <w:kern w:val="2"/>
        </w:rPr>
      </w:pPr>
      <w:r>
        <w:rPr>
          <w:rFonts w:hint="eastAsia" w:ascii="宋体" w:hAnsi="宋体" w:eastAsia="宋体" w:cs="宋体"/>
          <w:b/>
          <w:color w:val="auto"/>
          <w:kern w:val="2"/>
        </w:rPr>
        <w:t>一、合同标的</w:t>
      </w:r>
    </w:p>
    <w:p>
      <w:pPr>
        <w:pStyle w:val="20"/>
        <w:widowControl w:val="0"/>
        <w:snapToGrid w:val="0"/>
        <w:spacing w:before="0" w:beforeAutospacing="0" w:after="0" w:afterAutospacing="0" w:line="460" w:lineRule="exact"/>
        <w:ind w:firstLine="480" w:firstLineChars="200"/>
        <w:jc w:val="both"/>
        <w:rPr>
          <w:rStyle w:val="47"/>
          <w:rFonts w:hint="eastAsia" w:ascii="宋体" w:hAnsi="宋体" w:eastAsia="宋体" w:cs="宋体"/>
          <w:bCs/>
          <w:color w:val="auto"/>
          <w:kern w:val="2"/>
        </w:rPr>
      </w:pPr>
      <w:r>
        <w:rPr>
          <w:rStyle w:val="47"/>
          <w:rFonts w:hint="eastAsia" w:ascii="宋体" w:hAnsi="宋体" w:eastAsia="宋体" w:cs="宋体"/>
          <w:bCs/>
          <w:color w:val="auto"/>
          <w:kern w:val="2"/>
        </w:rPr>
        <w:t>详见招标文件项目需求</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二、合同金额</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kern w:val="2"/>
        </w:rPr>
      </w:pPr>
      <w:r>
        <w:rPr>
          <w:rFonts w:hint="eastAsia" w:ascii="宋体" w:hAnsi="宋体" w:eastAsia="宋体" w:cs="宋体"/>
          <w:bCs/>
          <w:color w:val="auto"/>
        </w:rPr>
        <w:t>2.1</w:t>
      </w:r>
      <w:r>
        <w:rPr>
          <w:rFonts w:hint="eastAsia" w:ascii="宋体" w:hAnsi="宋体" w:eastAsia="宋体" w:cs="宋体"/>
          <w:color w:val="auto"/>
          <w:kern w:val="2"/>
        </w:rPr>
        <w:t>本合同金额为（大写）：（小写）：______元人民币。</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三、技术资料</w:t>
      </w:r>
    </w:p>
    <w:p>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3.1乙方应按招标文件规定的时间向甲方提供使用货物和服务的有关技术资料。</w:t>
      </w:r>
    </w:p>
    <w:p>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四、知识产权</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4.1乙</w:t>
      </w:r>
      <w:r>
        <w:rPr>
          <w:rFonts w:hint="eastAsia" w:ascii="宋体" w:hAnsi="宋体" w:eastAsia="宋体" w:cs="宋体"/>
          <w:color w:val="auto"/>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 乙方应积极维护甲方合法权益，除指定撰写代理人，不以任何形式向任何第三方泄露甲方任何技术资料，否则乙方将承担因泄密给甲方造成的损失。</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color w:val="auto"/>
          <w:u w:val="single"/>
        </w:rPr>
      </w:pPr>
      <w:r>
        <w:rPr>
          <w:rFonts w:hint="eastAsia" w:ascii="宋体" w:hAnsi="宋体" w:eastAsia="宋体" w:cs="宋体"/>
          <w:b/>
          <w:color w:val="auto"/>
          <w:kern w:val="2"/>
        </w:rPr>
        <w:t>五、产权担保</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u w:val="single"/>
        </w:rPr>
      </w:pPr>
      <w:r>
        <w:rPr>
          <w:rFonts w:hint="eastAsia" w:ascii="宋体" w:hAnsi="宋体" w:eastAsia="宋体" w:cs="宋体"/>
          <w:color w:val="auto"/>
          <w:kern w:val="2"/>
        </w:rPr>
        <w:t>5.1乙方保证所交付的货物</w:t>
      </w:r>
      <w:r>
        <w:rPr>
          <w:rFonts w:hint="eastAsia" w:ascii="宋体" w:hAnsi="宋体" w:eastAsia="宋体" w:cs="宋体"/>
          <w:bCs/>
          <w:color w:val="auto"/>
          <w:kern w:val="2"/>
        </w:rPr>
        <w:t>和服务</w:t>
      </w:r>
      <w:r>
        <w:rPr>
          <w:rFonts w:hint="eastAsia" w:ascii="宋体" w:hAnsi="宋体" w:eastAsia="宋体" w:cs="宋体"/>
          <w:color w:val="auto"/>
          <w:kern w:val="2"/>
        </w:rPr>
        <w:t>的所有权完全属于乙方且无任何抵押、查封等产权瑕疵。</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六、履约保证金</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6.1乙方交纳人民币______元作为本合同的履约保证金（合同金额的5%）。项目验收后无息退还。</w:t>
      </w:r>
    </w:p>
    <w:p>
      <w:pPr>
        <w:snapToGrid w:val="0"/>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七、转包或分包</w:t>
      </w:r>
    </w:p>
    <w:p>
      <w:pPr>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7.1本合同范围的货物</w:t>
      </w:r>
      <w:r>
        <w:rPr>
          <w:rFonts w:hint="eastAsia" w:ascii="宋体" w:hAnsi="宋体" w:eastAsia="宋体" w:cs="宋体"/>
          <w:bCs/>
          <w:color w:val="auto"/>
          <w:sz w:val="24"/>
        </w:rPr>
        <w:t>和服务</w:t>
      </w:r>
      <w:r>
        <w:rPr>
          <w:rFonts w:hint="eastAsia" w:ascii="宋体" w:hAnsi="宋体" w:eastAsia="宋体" w:cs="宋体"/>
          <w:color w:val="auto"/>
          <w:sz w:val="24"/>
          <w:szCs w:val="24"/>
        </w:rPr>
        <w:t>，应由乙方直接供应，不得转让他人供应；</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7.2 除非得到甲方的书面同意，乙方不得部分分包给他人供应。</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7.3如有转让和未经甲方同意的分包行为，甲方有权给予终止合同。</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八、服务期限</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在签订合同后90个日历天内完成全部内容的服务工作。</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九、交货期</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9.1交货期:在签订合同后90个日历天内完成全部内容的服务工作。</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十、货款支付</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10.1付款方式:招标范围内容全部完成并经安装调试、培训结束，验收合格后付总价的90%；余款一年后根据售后服务情况付总价的5%；验收合格满三年根据售后服务情况付总价的5%。</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10.2当采购数量与实际使用数量不一致时，乙方应根据实际使用量供货，合同的最终结算金额按实际使用量乘以成交单价进行计算。</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十一、税费</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11.1本合同执行中的一切税费均由乙方负担。</w:t>
      </w:r>
    </w:p>
    <w:p>
      <w:pPr>
        <w:pStyle w:val="20"/>
        <w:widowControl w:val="0"/>
        <w:snapToGrid w:val="0"/>
        <w:spacing w:before="0" w:beforeAutospacing="0" w:after="0" w:afterAutospacing="0" w:line="46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十二、质量保证及售后服务</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12.1乙方应按公开招标文件规定及响应文件承诺向甲方提供服务;若无特殊说明，则按国家有关部门最新颁布的标准及规范为准。</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12.2乙方应保证其提供的服务是全面和规范的，并完全符合公开招标文件及响应文件。如因乙方提供的服务有瑕疵造成甲方损失的,所需费用由乙方承担。</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12.3如在使用过程中发生质量问题，乙方在接到甲方通知后在24小时内到达甲方现场。</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12.4服务期限内，乙方应对所提供服务出现的质量及安全问题负责处理解决并承担一切费用。</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rPr>
        <w:t>12.5免费服务期内，乙方为甲方提供相关人员免费培训辅导、问题解答等后续的咨询服务。</w:t>
      </w:r>
    </w:p>
    <w:p>
      <w:pPr>
        <w:snapToGrid w:val="0"/>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十三、项目验收</w:t>
      </w:r>
    </w:p>
    <w:p>
      <w:pPr>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13.1</w:t>
      </w:r>
      <w:r>
        <w:rPr>
          <w:rFonts w:hint="eastAsia" w:ascii="宋体" w:hAnsi="宋体" w:eastAsia="宋体" w:cs="宋体"/>
          <w:color w:val="auto"/>
          <w:sz w:val="24"/>
          <w:szCs w:val="24"/>
        </w:rPr>
        <w:t>乙方应当在合同签订后规定时间内完成服务事项，公开招标文件有约定的，从其约定。</w:t>
      </w:r>
    </w:p>
    <w:p>
      <w:pPr>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13.2</w:t>
      </w:r>
      <w:r>
        <w:rPr>
          <w:rFonts w:hint="eastAsia" w:ascii="宋体" w:hAnsi="宋体" w:eastAsia="宋体" w:cs="宋体"/>
          <w:color w:val="auto"/>
          <w:sz w:val="24"/>
          <w:szCs w:val="24"/>
        </w:rPr>
        <w:t>在交付前，乙方应作出全面检查和对验收文件进行整理，并列出清单，作为甲方验收和使用的技术条件依据。</w:t>
      </w:r>
    </w:p>
    <w:p>
      <w:pPr>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13.3</w:t>
      </w:r>
      <w:r>
        <w:rPr>
          <w:rFonts w:hint="eastAsia" w:ascii="宋体" w:hAnsi="宋体" w:eastAsia="宋体" w:cs="宋体"/>
          <w:color w:val="auto"/>
          <w:sz w:val="24"/>
          <w:szCs w:val="24"/>
        </w:rPr>
        <w:t>验收标准:按甲方公开招标文件的规定和乙方响应文件的承诺，并不低于国家相关标准。</w:t>
      </w:r>
    </w:p>
    <w:p>
      <w:pPr>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13.4对</w:t>
      </w:r>
      <w:r>
        <w:rPr>
          <w:rFonts w:hint="eastAsia" w:ascii="宋体" w:hAnsi="宋体" w:eastAsia="宋体" w:cs="宋体"/>
          <w:color w:val="auto"/>
          <w:sz w:val="24"/>
          <w:szCs w:val="24"/>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13.5验</w:t>
      </w:r>
      <w:r>
        <w:rPr>
          <w:rFonts w:hint="eastAsia" w:ascii="宋体" w:hAnsi="宋体" w:eastAsia="宋体" w:cs="宋体"/>
          <w:color w:val="auto"/>
          <w:sz w:val="24"/>
          <w:szCs w:val="24"/>
        </w:rPr>
        <w:t>收时乙方必须在现场，验收完毕后作出验收结果报告。</w:t>
      </w:r>
    </w:p>
    <w:p>
      <w:pPr>
        <w:pStyle w:val="2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十四、违约责任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甲方无正当理由拒收货物</w:t>
      </w:r>
      <w:r>
        <w:rPr>
          <w:rFonts w:hint="eastAsia" w:ascii="宋体" w:hAnsi="宋体" w:eastAsia="宋体" w:cs="宋体"/>
          <w:bCs/>
          <w:color w:val="auto"/>
          <w:sz w:val="24"/>
          <w:szCs w:val="24"/>
        </w:rPr>
        <w:t>和服务</w:t>
      </w:r>
      <w:r>
        <w:rPr>
          <w:rFonts w:hint="eastAsia" w:ascii="宋体" w:hAnsi="宋体" w:eastAsia="宋体" w:cs="宋体"/>
          <w:color w:val="auto"/>
          <w:sz w:val="24"/>
          <w:szCs w:val="24"/>
        </w:rPr>
        <w:t>的，甲方向乙方偿付拒收货款总值的百分之五违约金。</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14.3 乙方逾期交付货物</w:t>
      </w:r>
      <w:r>
        <w:rPr>
          <w:rFonts w:hint="eastAsia" w:ascii="宋体" w:hAnsi="宋体" w:eastAsia="宋体" w:cs="宋体"/>
          <w:bCs/>
          <w:color w:val="auto"/>
          <w:sz w:val="24"/>
          <w:szCs w:val="24"/>
        </w:rPr>
        <w:t>和服务</w:t>
      </w:r>
      <w:r>
        <w:rPr>
          <w:rFonts w:hint="eastAsia" w:ascii="宋体" w:hAnsi="宋体" w:eastAsia="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 乙方所交的货物</w:t>
      </w:r>
      <w:r>
        <w:rPr>
          <w:rFonts w:hint="eastAsia" w:ascii="宋体" w:hAnsi="宋体" w:eastAsia="宋体" w:cs="宋体"/>
          <w:bCs/>
          <w:color w:val="auto"/>
          <w:sz w:val="24"/>
          <w:szCs w:val="24"/>
        </w:rPr>
        <w:t>和服务</w:t>
      </w:r>
      <w:r>
        <w:rPr>
          <w:rFonts w:hint="eastAsia" w:ascii="宋体" w:hAnsi="宋体" w:eastAsia="宋体" w:cs="宋体"/>
          <w:color w:val="auto"/>
          <w:sz w:val="24"/>
          <w:szCs w:val="24"/>
        </w:rPr>
        <w:t>品种、型号、规格、技术参数、质量不符合合同规定及招标文件规定标准的，甲方有权拒收该货物</w:t>
      </w:r>
      <w:r>
        <w:rPr>
          <w:rFonts w:hint="eastAsia" w:ascii="宋体" w:hAnsi="宋体" w:eastAsia="宋体" w:cs="宋体"/>
          <w:bCs/>
          <w:color w:val="auto"/>
          <w:sz w:val="24"/>
          <w:szCs w:val="24"/>
        </w:rPr>
        <w:t>和服务</w:t>
      </w:r>
      <w:r>
        <w:rPr>
          <w:rFonts w:hint="eastAsia" w:ascii="宋体" w:hAnsi="宋体" w:eastAsia="宋体" w:cs="宋体"/>
          <w:color w:val="auto"/>
          <w:sz w:val="24"/>
          <w:szCs w:val="24"/>
        </w:rPr>
        <w:t>，乙方愿意更换货物但逾期交货的，按乙方逾期交货处理。乙方拒绝更换货物</w:t>
      </w:r>
      <w:r>
        <w:rPr>
          <w:rFonts w:hint="eastAsia" w:ascii="宋体" w:hAnsi="宋体" w:eastAsia="宋体" w:cs="宋体"/>
          <w:bCs/>
          <w:color w:val="auto"/>
          <w:sz w:val="24"/>
          <w:szCs w:val="24"/>
        </w:rPr>
        <w:t>和服务</w:t>
      </w:r>
      <w:r>
        <w:rPr>
          <w:rFonts w:hint="eastAsia" w:ascii="宋体" w:hAnsi="宋体" w:eastAsia="宋体" w:cs="宋体"/>
          <w:color w:val="auto"/>
          <w:sz w:val="24"/>
          <w:szCs w:val="24"/>
        </w:rPr>
        <w:t>的，甲方可单方面解除合同。</w:t>
      </w:r>
    </w:p>
    <w:p>
      <w:pPr>
        <w:pStyle w:val="2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十五、不可抗力事件处理</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 不可抗力事件发生后，应立即通知对方，并寄送有关权威机构出具的证明。</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 不可抗力事件延续120天以上，双方应通过友好协商，确定是否继续履行合同。</w:t>
      </w:r>
    </w:p>
    <w:p>
      <w:pPr>
        <w:pStyle w:val="2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十六、诉讼</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双方在执行合同中所发生的一切争议，应通过协商解决。如协商不成，可向合同签订地法院起诉，合同签订地在此约定为盐城市。</w:t>
      </w:r>
    </w:p>
    <w:p>
      <w:pPr>
        <w:pStyle w:val="2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十七、合同生效及其它</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 合同经双方法定代表人或授权委托代表人签字并加盖单位公章后生效。</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17.2本合同未尽事宜，遵照《中华人民共和国民法典》有关条文执行。</w:t>
      </w:r>
    </w:p>
    <w:p>
      <w:pPr>
        <w:adjustRightInd w:val="0"/>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17.3 本合同正本一式二份，副本一式六份，具有同等法律效力。</w:t>
      </w:r>
    </w:p>
    <w:p>
      <w:pPr>
        <w:pStyle w:val="20"/>
        <w:widowControl w:val="0"/>
        <w:snapToGrid w:val="0"/>
        <w:spacing w:before="0" w:beforeAutospacing="0" w:after="0" w:afterAutospacing="0" w:line="460" w:lineRule="exact"/>
        <w:ind w:firstLine="720" w:firstLineChars="300"/>
        <w:jc w:val="both"/>
        <w:rPr>
          <w:rFonts w:hint="eastAsia" w:ascii="宋体" w:hAnsi="宋体" w:eastAsia="宋体" w:cs="宋体"/>
          <w:color w:val="auto"/>
        </w:rPr>
      </w:pPr>
      <w:r>
        <w:rPr>
          <w:rFonts w:hint="eastAsia" w:ascii="宋体" w:hAnsi="宋体" w:eastAsia="宋体" w:cs="宋体"/>
          <w:color w:val="auto"/>
          <w:kern w:val="2"/>
        </w:rPr>
        <w:t xml:space="preserve">甲方：                                   乙方： </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 xml:space="preserve">  地址：                                   地址： </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 xml:space="preserve">  法定代表人或授权代表：                   法定代表人或授权代表：</w:t>
      </w:r>
    </w:p>
    <w:p>
      <w:pPr>
        <w:pStyle w:val="20"/>
        <w:widowControl w:val="0"/>
        <w:snapToGrid w:val="0"/>
        <w:spacing w:before="0" w:beforeAutospacing="0" w:after="0" w:afterAutospacing="0" w:line="460" w:lineRule="exact"/>
        <w:ind w:firstLine="720" w:firstLineChars="300"/>
        <w:jc w:val="both"/>
        <w:rPr>
          <w:rFonts w:hint="eastAsia" w:ascii="宋体" w:hAnsi="宋体" w:eastAsia="宋体" w:cs="宋体"/>
          <w:color w:val="auto"/>
        </w:rPr>
      </w:pPr>
      <w:r>
        <w:rPr>
          <w:rFonts w:hint="eastAsia" w:ascii="宋体" w:hAnsi="宋体" w:eastAsia="宋体" w:cs="宋体"/>
          <w:color w:val="auto"/>
          <w:kern w:val="2"/>
        </w:rPr>
        <w:t>采购单位负责人：</w:t>
      </w:r>
    </w:p>
    <w:p>
      <w:pPr>
        <w:pStyle w:val="20"/>
        <w:widowControl w:val="0"/>
        <w:snapToGrid w:val="0"/>
        <w:spacing w:before="0" w:beforeAutospacing="0" w:after="0" w:afterAutospacing="0" w:line="46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 xml:space="preserve">  联系电话：                               联系电话：</w:t>
      </w:r>
    </w:p>
    <w:p>
      <w:pPr>
        <w:spacing w:line="460" w:lineRule="exact"/>
        <w:rPr>
          <w:rFonts w:hint="eastAsia" w:ascii="宋体" w:hAnsi="宋体" w:eastAsia="宋体" w:cs="宋体"/>
          <w:b/>
          <w:color w:val="auto"/>
          <w:sz w:val="44"/>
        </w:rPr>
        <w:sectPr>
          <w:headerReference r:id="rId7" w:type="default"/>
          <w:footerReference r:id="rId8" w:type="default"/>
          <w:pgSz w:w="11906" w:h="16838"/>
          <w:pgMar w:top="1418" w:right="1417" w:bottom="1418" w:left="1417" w:header="851" w:footer="907" w:gutter="0"/>
          <w:cols w:space="720" w:num="1"/>
          <w:docGrid w:type="lines" w:linePitch="290" w:charSpace="0"/>
        </w:sectPr>
      </w:pPr>
      <w:r>
        <w:rPr>
          <w:rFonts w:hint="eastAsia" w:ascii="宋体" w:hAnsi="宋体" w:eastAsia="宋体" w:cs="宋体"/>
          <w:color w:val="auto"/>
          <w:sz w:val="24"/>
          <w:szCs w:val="24"/>
        </w:rPr>
        <w:t xml:space="preserve">      签订日期：      年  月  日</w:t>
      </w:r>
    </w:p>
    <w:p>
      <w:pPr>
        <w:pStyle w:val="37"/>
        <w:spacing w:line="360" w:lineRule="auto"/>
        <w:outlineLvl w:val="0"/>
        <w:rPr>
          <w:rStyle w:val="47"/>
          <w:rFonts w:hint="eastAsia" w:ascii="宋体" w:hAnsi="宋体" w:eastAsia="宋体" w:cs="宋体"/>
          <w:b/>
          <w:color w:val="auto"/>
          <w:sz w:val="24"/>
          <w:szCs w:val="24"/>
        </w:rPr>
      </w:pPr>
      <w:r>
        <w:rPr>
          <w:rStyle w:val="47"/>
          <w:rFonts w:hint="eastAsia" w:ascii="宋体" w:hAnsi="宋体" w:eastAsia="宋体" w:cs="宋体"/>
          <w:b/>
          <w:color w:val="auto"/>
          <w:sz w:val="44"/>
        </w:rPr>
        <w:t>第四章 项目需求</w:t>
      </w:r>
      <w:bookmarkEnd w:id="5"/>
    </w:p>
    <w:p>
      <w:pPr>
        <w:adjustRightInd w:val="0"/>
        <w:snapToGrid w:val="0"/>
        <w:spacing w:line="360" w:lineRule="auto"/>
        <w:ind w:firstLine="482" w:firstLineChars="200"/>
        <w:rPr>
          <w:rFonts w:hint="eastAsia" w:ascii="宋体" w:hAnsi="宋体" w:eastAsia="宋体" w:cs="宋体"/>
          <w:b/>
          <w:bCs/>
          <w:color w:val="auto"/>
          <w:sz w:val="24"/>
          <w:szCs w:val="24"/>
        </w:rPr>
      </w:pPr>
      <w:bookmarkStart w:id="6" w:name="_Toc32259"/>
    </w:p>
    <w:p>
      <w:pPr>
        <w:spacing w:line="440" w:lineRule="exact"/>
        <w:ind w:firstLine="562" w:firstLineChars="200"/>
        <w:jc w:val="left"/>
        <w:outlineLvl w:val="1"/>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一、项目基本要求</w:t>
      </w:r>
    </w:p>
    <w:p>
      <w:pPr>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因本项目安装以及报价与现场实际情况紧密相连，所以各供应商投标前应踏勘现场以了解项目实际情况，现场踏勘时须确保完全了解项目现状及须达到的效果，并充分考虑施工作业面给施工、运输带来的影响，同时了解施工对周围环境的影响、水电供应、装卸限制及任何其它足以影响承包价格的情况。中标后不得以未踏勘现场或踏勘现场不细致而怠工或要求增加施工费用，供应商未进行踏勘，所造成的的后果自负。供应商的现场踏勘行为有任何责任须自行承担，不得因此使招采购人承担有关的责任和蒙受损失。</w:t>
      </w:r>
    </w:p>
    <w:p>
      <w:pPr>
        <w:pStyle w:val="20"/>
        <w:spacing w:before="0" w:beforeAutospacing="0" w:after="0" w:afterAutospacing="0"/>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2.供应商中标后，需要提供本项目所有监控摄像机点位供</w:t>
      </w:r>
      <w:bookmarkStart w:id="7" w:name="_Hlk115774966"/>
      <w:r>
        <w:rPr>
          <w:rFonts w:hint="eastAsia" w:ascii="宋体" w:hAnsi="宋体" w:eastAsia="宋体" w:cs="宋体"/>
          <w:color w:val="auto"/>
          <w:szCs w:val="24"/>
        </w:rPr>
        <w:t>后勤管理处（第一、第二食堂）和安全保卫处（图文信息中心）确认</w:t>
      </w:r>
      <w:bookmarkEnd w:id="7"/>
      <w:r>
        <w:rPr>
          <w:rFonts w:hint="eastAsia" w:ascii="宋体" w:hAnsi="宋体" w:eastAsia="宋体" w:cs="宋体"/>
          <w:color w:val="auto"/>
          <w:szCs w:val="24"/>
        </w:rPr>
        <w:t>。</w:t>
      </w:r>
    </w:p>
    <w:p>
      <w:pPr>
        <w:pStyle w:val="20"/>
        <w:spacing w:before="0" w:beforeAutospacing="0" w:after="0" w:afterAutospacing="0"/>
        <w:ind w:firstLine="480" w:firstLineChars="200"/>
        <w:rPr>
          <w:rFonts w:hint="eastAsia" w:ascii="宋体" w:hAnsi="宋体" w:eastAsia="宋体" w:cs="宋体"/>
          <w:color w:val="auto"/>
          <w:szCs w:val="24"/>
        </w:rPr>
      </w:pPr>
      <w:bookmarkStart w:id="8" w:name="_Hlk115775094"/>
      <w:r>
        <w:rPr>
          <w:rFonts w:hint="eastAsia" w:ascii="宋体" w:hAnsi="宋体" w:eastAsia="宋体" w:cs="宋体"/>
          <w:color w:val="auto"/>
          <w:szCs w:val="24"/>
        </w:rPr>
        <w:t>3.监控摄像机点位以图纸</w:t>
      </w:r>
      <w:bookmarkEnd w:id="8"/>
      <w:r>
        <w:rPr>
          <w:rFonts w:hint="eastAsia" w:ascii="宋体" w:hAnsi="宋体" w:eastAsia="宋体" w:cs="宋体"/>
          <w:color w:val="auto"/>
          <w:szCs w:val="24"/>
        </w:rPr>
        <w:t>形式提供，图纸副本数与合同副本数一致。后勤管理处和安全保卫处确认后，部门领导在图纸上</w:t>
      </w:r>
      <w:bookmarkStart w:id="9" w:name="_Hlk115775076"/>
      <w:r>
        <w:rPr>
          <w:rFonts w:hint="eastAsia" w:ascii="宋体" w:hAnsi="宋体" w:eastAsia="宋体" w:cs="宋体"/>
          <w:color w:val="auto"/>
          <w:szCs w:val="24"/>
        </w:rPr>
        <w:t>签字并签部门章</w:t>
      </w:r>
      <w:bookmarkEnd w:id="9"/>
      <w:r>
        <w:rPr>
          <w:rFonts w:hint="eastAsia" w:ascii="宋体" w:hAnsi="宋体" w:eastAsia="宋体" w:cs="宋体"/>
          <w:color w:val="auto"/>
          <w:szCs w:val="24"/>
        </w:rPr>
        <w:t>。</w:t>
      </w:r>
    </w:p>
    <w:p>
      <w:pPr>
        <w:pStyle w:val="20"/>
        <w:spacing w:before="0" w:beforeAutospacing="0" w:after="0" w:afterAutospacing="0"/>
        <w:ind w:firstLine="480" w:firstLineChars="200"/>
        <w:rPr>
          <w:rFonts w:hint="eastAsia" w:ascii="宋体" w:hAnsi="宋体" w:eastAsia="宋体" w:cs="宋体"/>
          <w:color w:val="auto"/>
          <w:szCs w:val="24"/>
        </w:rPr>
      </w:pPr>
      <w:r>
        <w:rPr>
          <w:rFonts w:hint="eastAsia" w:ascii="宋体" w:hAnsi="宋体" w:eastAsia="宋体" w:cs="宋体"/>
          <w:color w:val="auto"/>
          <w:szCs w:val="24"/>
        </w:rPr>
        <w:t>4.签订合同前，真实环境展示综合安防管理平台的功能。重点展示前端设备兼容、权限分级管理、算法等。</w:t>
      </w:r>
    </w:p>
    <w:p>
      <w:pPr>
        <w:pStyle w:val="20"/>
        <w:spacing w:before="0" w:beforeAutospacing="0" w:after="0" w:afterAutospacing="0"/>
        <w:ind w:firstLine="480" w:firstLineChars="200"/>
        <w:rPr>
          <w:rFonts w:hint="eastAsia" w:ascii="宋体" w:hAnsi="宋体" w:eastAsia="宋体" w:cs="宋体"/>
          <w:color w:val="auto"/>
          <w:szCs w:val="24"/>
        </w:rPr>
      </w:pPr>
      <w:r>
        <w:rPr>
          <w:rFonts w:hint="eastAsia" w:ascii="宋体" w:hAnsi="宋体" w:eastAsia="宋体" w:cs="宋体"/>
          <w:color w:val="auto"/>
          <w:szCs w:val="24"/>
        </w:rPr>
        <w:t>5.功能展示合格和点位图确认后，签订合同。签字并签部门章的监控摄像机点位图纸作为合同的一部分。</w:t>
      </w:r>
    </w:p>
    <w:p>
      <w:pPr>
        <w:pStyle w:val="20"/>
        <w:spacing w:before="0" w:beforeAutospacing="0" w:after="0" w:afterAutospacing="0"/>
        <w:ind w:firstLine="480" w:firstLineChars="200"/>
        <w:rPr>
          <w:rFonts w:hint="eastAsia" w:ascii="宋体" w:hAnsi="宋体" w:eastAsia="宋体" w:cs="宋体"/>
          <w:color w:val="auto"/>
          <w:szCs w:val="24"/>
        </w:rPr>
      </w:pPr>
      <w:r>
        <w:rPr>
          <w:rFonts w:hint="eastAsia" w:ascii="宋体" w:hAnsi="宋体" w:eastAsia="宋体" w:cs="宋体"/>
          <w:color w:val="auto"/>
          <w:szCs w:val="24"/>
        </w:rPr>
        <w:t>6.投标报价是投标人在投标（报价）文件中提出的各项支付金额的总和，包括投标人为完成招标文件（含采购清单）确定的采购范围内的所有工作内容，进行货物采购、供应（含全套设备、备品备件、专用工具、技术资料等）、运输、安装（含辅材）、调试、验收和售后等相关伴随服务而涵盖的所有费用。单价和总价均应包括全部设备价、包装费、运输、安装（含辅材）、调试、培训、技术服务、必不可少的部件、标准备件、专用工具等费用，以及已支付或将支付的营业税和其它税费，合同期内的市场风险及国家政策性调整风险、不可预见费等所有费用，凡漏项或少计均视为优惠，采购人不另行增加费用。</w:t>
      </w:r>
    </w:p>
    <w:p>
      <w:pPr>
        <w:ind w:right="210"/>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二、售后服务及质保要求</w:t>
      </w:r>
    </w:p>
    <w:p>
      <w:pPr>
        <w:spacing w:line="500" w:lineRule="exact"/>
        <w:ind w:firstLine="480" w:firstLineChars="200"/>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按照国家规定的标准和标书规定的标准执行。</w:t>
      </w:r>
    </w:p>
    <w:p>
      <w:pPr>
        <w:spacing w:line="500" w:lineRule="exact"/>
        <w:ind w:firstLine="480" w:firstLineChars="200"/>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按招标文件规定的</w:t>
      </w:r>
      <w:r>
        <w:rPr>
          <w:rFonts w:hint="eastAsia" w:ascii="宋体" w:hAnsi="宋体" w:eastAsia="宋体" w:cs="宋体"/>
          <w:bCs/>
          <w:color w:val="auto"/>
          <w:kern w:val="0"/>
          <w:sz w:val="24"/>
          <w:szCs w:val="28"/>
        </w:rPr>
        <w:t>软件</w:t>
      </w:r>
      <w:r>
        <w:rPr>
          <w:rFonts w:hint="eastAsia" w:ascii="宋体" w:hAnsi="宋体" w:eastAsia="宋体" w:cs="宋体"/>
          <w:bCs/>
          <w:color w:val="auto"/>
          <w:kern w:val="0"/>
          <w:sz w:val="24"/>
          <w:szCs w:val="28"/>
        </w:rPr>
        <w:t>技术要求、质量标准向采购方提供未经使用的全新产品。并向甲方提供质量保证书、出厂合格证。</w:t>
      </w:r>
    </w:p>
    <w:p>
      <w:pPr>
        <w:spacing w:line="500" w:lineRule="exact"/>
        <w:ind w:firstLine="480" w:firstLineChars="200"/>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供应商提供的</w:t>
      </w:r>
      <w:r>
        <w:rPr>
          <w:rFonts w:hint="eastAsia" w:ascii="宋体" w:hAnsi="宋体" w:eastAsia="宋体" w:cs="宋体"/>
          <w:bCs/>
          <w:color w:val="auto"/>
          <w:kern w:val="0"/>
          <w:sz w:val="24"/>
          <w:szCs w:val="28"/>
        </w:rPr>
        <w:t>软件</w:t>
      </w:r>
      <w:r>
        <w:rPr>
          <w:rFonts w:hint="eastAsia" w:ascii="宋体" w:hAnsi="宋体" w:eastAsia="宋体" w:cs="宋体"/>
          <w:bCs/>
          <w:color w:val="auto"/>
          <w:kern w:val="0"/>
          <w:sz w:val="24"/>
          <w:szCs w:val="28"/>
        </w:rPr>
        <w:t>在质保期内因本身的质量问题发生故障，乙方应负责免费维修。</w:t>
      </w:r>
      <w:r>
        <w:rPr>
          <w:rFonts w:hint="eastAsia" w:ascii="宋体" w:hAnsi="宋体" w:eastAsia="宋体" w:cs="宋体"/>
          <w:bCs/>
          <w:color w:val="auto"/>
          <w:kern w:val="0"/>
          <w:sz w:val="24"/>
          <w:szCs w:val="28"/>
        </w:rPr>
        <w:t>供应商应对提供的软件免费安装、免费调试、免费培训、免费提供软件学习资料。</w:t>
      </w:r>
    </w:p>
    <w:p>
      <w:pPr>
        <w:spacing w:line="500" w:lineRule="exact"/>
        <w:ind w:firstLine="480" w:firstLineChars="200"/>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软件</w:t>
      </w:r>
      <w:r>
        <w:rPr>
          <w:rFonts w:hint="eastAsia" w:ascii="宋体" w:hAnsi="宋体" w:eastAsia="宋体" w:cs="宋体"/>
          <w:bCs/>
          <w:color w:val="auto"/>
          <w:kern w:val="0"/>
          <w:sz w:val="24"/>
          <w:szCs w:val="28"/>
        </w:rPr>
        <w:t>如在使用过程中发生质量问题，供应商应在接到采购方通知后24小时内到达</w:t>
      </w:r>
      <w:r>
        <w:rPr>
          <w:rFonts w:hint="eastAsia" w:ascii="宋体" w:hAnsi="宋体" w:eastAsia="宋体" w:cs="宋体"/>
          <w:bCs/>
          <w:color w:val="auto"/>
          <w:kern w:val="0"/>
          <w:sz w:val="24"/>
          <w:szCs w:val="28"/>
        </w:rPr>
        <w:t>现场。</w:t>
      </w:r>
    </w:p>
    <w:p>
      <w:pPr>
        <w:spacing w:line="500" w:lineRule="exact"/>
        <w:ind w:firstLine="482" w:firstLineChars="200"/>
        <w:jc w:val="left"/>
        <w:rPr>
          <w:rFonts w:hint="eastAsia" w:ascii="宋体" w:hAnsi="宋体" w:eastAsia="宋体" w:cs="宋体"/>
          <w:bCs/>
          <w:color w:val="auto"/>
          <w:kern w:val="0"/>
          <w:sz w:val="24"/>
          <w:szCs w:val="28"/>
        </w:rPr>
      </w:pPr>
      <w:r>
        <w:rPr>
          <w:rFonts w:hint="eastAsia" w:ascii="宋体" w:hAnsi="宋体" w:eastAsia="宋体" w:cs="宋体"/>
          <w:b/>
          <w:bCs/>
          <w:color w:val="auto"/>
          <w:kern w:val="0"/>
          <w:sz w:val="24"/>
          <w:szCs w:val="28"/>
        </w:rPr>
        <w:t>质保期五年</w:t>
      </w:r>
      <w:r>
        <w:rPr>
          <w:rFonts w:hint="eastAsia" w:ascii="宋体" w:hAnsi="宋体" w:eastAsia="宋体" w:cs="宋体"/>
          <w:bCs/>
          <w:color w:val="auto"/>
          <w:kern w:val="0"/>
          <w:sz w:val="24"/>
          <w:szCs w:val="28"/>
        </w:rPr>
        <w:t>，质保期内乙方应对软件免费升级，质保期满软件如需升级，升级费用不得超过软件合同价与当期价中较低值的10%。</w:t>
      </w:r>
    </w:p>
    <w:p>
      <w:pPr>
        <w:spacing w:before="145" w:beforeLines="50" w:after="145" w:afterLines="50"/>
        <w:rPr>
          <w:rFonts w:hint="eastAsia" w:ascii="宋体" w:hAnsi="宋体" w:eastAsia="宋体" w:cs="宋体"/>
          <w:color w:val="auto"/>
        </w:rPr>
      </w:pPr>
      <w:r>
        <w:rPr>
          <w:rFonts w:hint="eastAsia" w:ascii="宋体" w:hAnsi="宋体" w:eastAsia="宋体" w:cs="宋体"/>
          <w:b/>
          <w:color w:val="auto"/>
          <w:sz w:val="24"/>
        </w:rPr>
        <w:t>三</w:t>
      </w:r>
      <w:r>
        <w:rPr>
          <w:rFonts w:hint="eastAsia" w:ascii="宋体" w:hAnsi="宋体" w:eastAsia="宋体" w:cs="宋体"/>
          <w:b/>
          <w:color w:val="auto"/>
          <w:sz w:val="24"/>
        </w:rPr>
        <w:t>、</w:t>
      </w:r>
      <w:r>
        <w:rPr>
          <w:rFonts w:hint="eastAsia" w:ascii="宋体" w:hAnsi="宋体" w:eastAsia="宋体" w:cs="宋体"/>
          <w:b/>
          <w:color w:val="auto"/>
          <w:sz w:val="24"/>
        </w:rPr>
        <w:t>技术参数及要求</w:t>
      </w:r>
    </w:p>
    <w:tbl>
      <w:tblPr>
        <w:tblStyle w:val="22"/>
        <w:tblW w:w="518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13"/>
        <w:gridCol w:w="880"/>
        <w:gridCol w:w="5874"/>
        <w:gridCol w:w="559"/>
        <w:gridCol w:w="557"/>
        <w:gridCol w:w="11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rPr>
        <w:tc>
          <w:tcPr>
            <w:tcW w:w="270" w:type="pct"/>
            <w:vAlign w:val="center"/>
          </w:tcPr>
          <w:p>
            <w:pPr>
              <w:spacing w:before="100" w:beforeAutospacing="1" w:after="100" w:afterAutospacing="1"/>
              <w:jc w:val="center"/>
              <w:rPr>
                <w:rFonts w:hint="eastAsia" w:ascii="宋体" w:hAnsi="宋体" w:eastAsia="宋体" w:cs="宋体"/>
                <w:b/>
                <w:bCs/>
                <w:color w:val="auto"/>
              </w:rPr>
            </w:pPr>
            <w:bookmarkStart w:id="10" w:name="_Hlk100928392"/>
            <w:r>
              <w:rPr>
                <w:rFonts w:hint="eastAsia" w:ascii="宋体" w:hAnsi="宋体" w:eastAsia="宋体" w:cs="宋体"/>
                <w:b/>
                <w:bCs/>
                <w:color w:val="auto"/>
              </w:rPr>
              <w:t>序号</w:t>
            </w:r>
          </w:p>
        </w:tc>
        <w:tc>
          <w:tcPr>
            <w:tcW w:w="463" w:type="pct"/>
            <w:vAlign w:val="center"/>
          </w:tcPr>
          <w:p>
            <w:pPr>
              <w:spacing w:before="100" w:beforeAutospacing="1" w:after="100" w:afterAutospacing="1"/>
              <w:jc w:val="center"/>
              <w:rPr>
                <w:rFonts w:hint="eastAsia" w:ascii="宋体" w:hAnsi="宋体" w:eastAsia="宋体" w:cs="宋体"/>
                <w:b/>
                <w:bCs/>
                <w:color w:val="auto"/>
              </w:rPr>
            </w:pPr>
            <w:r>
              <w:rPr>
                <w:rFonts w:hint="eastAsia" w:ascii="宋体" w:hAnsi="宋体" w:eastAsia="宋体" w:cs="宋体"/>
                <w:b/>
                <w:bCs/>
                <w:color w:val="auto"/>
              </w:rPr>
              <w:t>名 称</w:t>
            </w:r>
          </w:p>
        </w:tc>
        <w:tc>
          <w:tcPr>
            <w:tcW w:w="3090" w:type="pct"/>
            <w:vAlign w:val="center"/>
          </w:tcPr>
          <w:p>
            <w:pPr>
              <w:jc w:val="center"/>
              <w:textAlignment w:val="center"/>
              <w:rPr>
                <w:rFonts w:hint="eastAsia" w:ascii="宋体" w:hAnsi="宋体" w:eastAsia="宋体" w:cs="宋体"/>
                <w:b/>
                <w:color w:val="auto"/>
                <w:lang w:val="zh-CN" w:bidi="zh-CN"/>
              </w:rPr>
            </w:pPr>
            <w:r>
              <w:rPr>
                <w:rFonts w:hint="eastAsia" w:ascii="宋体" w:hAnsi="宋体" w:eastAsia="宋体" w:cs="宋体"/>
                <w:b/>
                <w:bCs/>
                <w:color w:val="auto"/>
              </w:rPr>
              <w:t>主要</w:t>
            </w:r>
            <w:r>
              <w:rPr>
                <w:rFonts w:hint="eastAsia" w:ascii="宋体" w:hAnsi="宋体" w:eastAsia="宋体" w:cs="宋体"/>
                <w:b/>
                <w:color w:val="auto"/>
                <w:kern w:val="0"/>
              </w:rPr>
              <w:t>技术参数及要求（实质性要求及重要指标用★标注）</w:t>
            </w:r>
          </w:p>
        </w:tc>
        <w:tc>
          <w:tcPr>
            <w:tcW w:w="294" w:type="pct"/>
            <w:vAlign w:val="center"/>
          </w:tcPr>
          <w:p>
            <w:pPr>
              <w:spacing w:before="100" w:beforeAutospacing="1" w:after="100" w:afterAutospacing="1"/>
              <w:jc w:val="center"/>
              <w:rPr>
                <w:rFonts w:hint="eastAsia" w:ascii="宋体" w:hAnsi="宋体" w:eastAsia="宋体" w:cs="宋体"/>
                <w:b/>
                <w:bCs/>
                <w:color w:val="auto"/>
              </w:rPr>
            </w:pPr>
            <w:r>
              <w:rPr>
                <w:rFonts w:hint="eastAsia" w:ascii="宋体" w:hAnsi="宋体" w:eastAsia="宋体" w:cs="宋体"/>
                <w:b/>
                <w:bCs/>
                <w:color w:val="auto"/>
              </w:rPr>
              <w:t>单位</w:t>
            </w:r>
          </w:p>
        </w:tc>
        <w:tc>
          <w:tcPr>
            <w:tcW w:w="293" w:type="pct"/>
            <w:vAlign w:val="center"/>
          </w:tcPr>
          <w:p>
            <w:pPr>
              <w:spacing w:before="100" w:beforeAutospacing="1" w:after="100" w:afterAutospacing="1"/>
              <w:jc w:val="center"/>
              <w:rPr>
                <w:rFonts w:hint="eastAsia" w:ascii="宋体" w:hAnsi="宋体" w:eastAsia="宋体" w:cs="宋体"/>
                <w:b/>
                <w:bCs/>
                <w:color w:val="auto"/>
              </w:rPr>
            </w:pPr>
            <w:r>
              <w:rPr>
                <w:rFonts w:hint="eastAsia" w:ascii="宋体" w:hAnsi="宋体" w:eastAsia="宋体" w:cs="宋体"/>
                <w:b/>
                <w:bCs/>
                <w:color w:val="auto"/>
              </w:rPr>
              <w:t>数量</w:t>
            </w:r>
          </w:p>
        </w:tc>
        <w:tc>
          <w:tcPr>
            <w:tcW w:w="590" w:type="pct"/>
            <w:vAlign w:val="center"/>
          </w:tcPr>
          <w:p>
            <w:pPr>
              <w:spacing w:before="100" w:beforeAutospacing="1" w:after="100" w:afterAutospacing="1"/>
              <w:jc w:val="center"/>
              <w:rPr>
                <w:rFonts w:hint="eastAsia" w:ascii="宋体" w:hAnsi="宋体" w:eastAsia="宋体" w:cs="宋体"/>
                <w:b/>
                <w:bCs/>
                <w:color w:val="auto"/>
              </w:rPr>
            </w:pPr>
            <w:r>
              <w:rPr>
                <w:rFonts w:hint="eastAsia" w:ascii="宋体" w:hAnsi="宋体" w:eastAsia="宋体" w:cs="宋体"/>
                <w:b/>
                <w:bCs/>
                <w:color w:val="auto"/>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rPr>
        <w:tc>
          <w:tcPr>
            <w:tcW w:w="5000" w:type="pct"/>
            <w:gridSpan w:val="6"/>
            <w:vAlign w:val="center"/>
          </w:tcPr>
          <w:p>
            <w:pPr>
              <w:spacing w:before="100" w:beforeAutospacing="1" w:after="100" w:afterAutospacing="1"/>
              <w:rPr>
                <w:rFonts w:hint="eastAsia" w:ascii="宋体" w:hAnsi="宋体" w:eastAsia="宋体" w:cs="宋体"/>
                <w:b/>
                <w:bCs/>
                <w:color w:val="auto"/>
              </w:rPr>
            </w:pPr>
            <w:r>
              <w:rPr>
                <w:rFonts w:hint="eastAsia" w:ascii="宋体" w:hAnsi="宋体" w:eastAsia="宋体" w:cs="宋体"/>
                <w:b/>
                <w:bCs/>
                <w:color w:val="auto"/>
              </w:rPr>
              <w:t>一、综合安防管理平台</w:t>
            </w:r>
          </w:p>
          <w:p>
            <w:pPr>
              <w:rPr>
                <w:rFonts w:hint="eastAsia" w:ascii="宋体" w:hAnsi="宋体" w:eastAsia="宋体" w:cs="宋体"/>
                <w:color w:val="auto"/>
              </w:rPr>
            </w:pPr>
            <w:r>
              <w:rPr>
                <w:rFonts w:hint="eastAsia" w:ascii="宋体" w:hAnsi="宋体" w:eastAsia="宋体" w:cs="宋体"/>
                <w:color w:val="auto"/>
              </w:rPr>
              <w:t>总体要求：</w:t>
            </w:r>
          </w:p>
          <w:p>
            <w:pPr>
              <w:ind w:firstLine="210" w:firstLineChars="100"/>
              <w:rPr>
                <w:rFonts w:hint="eastAsia" w:ascii="宋体" w:hAnsi="宋体" w:eastAsia="宋体" w:cs="宋体"/>
                <w:color w:val="auto"/>
              </w:rPr>
            </w:pPr>
            <w:r>
              <w:rPr>
                <w:rFonts w:hint="eastAsia" w:ascii="宋体" w:hAnsi="宋体" w:eastAsia="宋体" w:cs="宋体"/>
                <w:color w:val="auto"/>
              </w:rPr>
              <w:t>1、支持视频安防、门禁（人脸、指纹等）、报警、电子地图、系统运维、访客管理、考勤、巡更、卡口管理、AR实景、视频图像质量诊断等常见校园安防应用按需部署使用。</w:t>
            </w:r>
          </w:p>
          <w:p>
            <w:pPr>
              <w:ind w:firstLine="210" w:firstLineChars="100"/>
              <w:rPr>
                <w:rFonts w:hint="eastAsia" w:ascii="宋体" w:hAnsi="宋体" w:eastAsia="宋体" w:cs="宋体"/>
                <w:color w:val="auto"/>
              </w:rPr>
            </w:pPr>
            <w:r>
              <w:rPr>
                <w:rFonts w:hint="eastAsia" w:ascii="宋体" w:hAnsi="宋体" w:eastAsia="宋体" w:cs="宋体"/>
                <w:color w:val="auto"/>
              </w:rPr>
              <w:t>2、具有良好的兼容性，免费支持不同厂家的各类前端设备接入；</w:t>
            </w:r>
          </w:p>
          <w:p>
            <w:pPr>
              <w:ind w:firstLine="210" w:firstLineChars="100"/>
              <w:rPr>
                <w:rFonts w:hint="eastAsia" w:ascii="宋体" w:hAnsi="宋体" w:eastAsia="宋体" w:cs="宋体"/>
                <w:color w:val="auto"/>
              </w:rPr>
            </w:pPr>
            <w:r>
              <w:rPr>
                <w:rFonts w:hint="eastAsia" w:ascii="宋体" w:hAnsi="宋体" w:eastAsia="宋体" w:cs="宋体"/>
                <w:color w:val="auto"/>
              </w:rPr>
              <w:t>3、支持人脸识别、车辆识别、行为识别、物体识别等算法，算法运行于本地。</w:t>
            </w:r>
          </w:p>
          <w:p>
            <w:pPr>
              <w:ind w:firstLine="210" w:firstLineChars="100"/>
              <w:rPr>
                <w:rFonts w:hint="eastAsia" w:ascii="宋体" w:hAnsi="宋体" w:eastAsia="宋体" w:cs="宋体"/>
                <w:color w:val="auto"/>
              </w:rPr>
            </w:pPr>
            <w:r>
              <w:rPr>
                <w:rFonts w:hint="eastAsia" w:ascii="宋体" w:hAnsi="宋体" w:eastAsia="宋体" w:cs="宋体"/>
                <w:color w:val="auto"/>
              </w:rPr>
              <w:t>4、支持以图搜图、以图搜人等功能。在监控摄像机拍摄到人脸数据后，自动进行以图搜人，并在报警信息中显示人员基本信息。</w:t>
            </w:r>
          </w:p>
          <w:p>
            <w:pPr>
              <w:ind w:firstLine="210" w:firstLineChars="100"/>
              <w:rPr>
                <w:rFonts w:hint="eastAsia" w:ascii="宋体" w:hAnsi="宋体" w:eastAsia="宋体" w:cs="宋体"/>
                <w:color w:val="auto"/>
              </w:rPr>
            </w:pPr>
            <w:r>
              <w:rPr>
                <w:rFonts w:hint="eastAsia" w:ascii="宋体" w:hAnsi="宋体" w:eastAsia="宋体" w:cs="宋体"/>
                <w:color w:val="auto"/>
              </w:rPr>
              <w:t>5、免费与智慧校园、一卡通等系统进行数据对接。</w:t>
            </w:r>
          </w:p>
          <w:p>
            <w:pPr>
              <w:ind w:firstLine="210" w:firstLineChars="100"/>
              <w:rPr>
                <w:rFonts w:hint="eastAsia" w:ascii="宋体" w:hAnsi="宋体" w:eastAsia="宋体" w:cs="宋体"/>
                <w:color w:val="auto"/>
              </w:rPr>
            </w:pPr>
            <w:r>
              <w:rPr>
                <w:rFonts w:hint="eastAsia" w:ascii="宋体" w:hAnsi="宋体" w:eastAsia="宋体" w:cs="宋体"/>
                <w:color w:val="auto"/>
              </w:rPr>
              <w:t>6、支持权限分级管理，最大支持到五级。</w:t>
            </w:r>
          </w:p>
          <w:p>
            <w:pPr>
              <w:ind w:firstLine="210" w:firstLineChars="100"/>
              <w:rPr>
                <w:rFonts w:hint="eastAsia" w:ascii="宋体" w:hAnsi="宋体" w:eastAsia="宋体" w:cs="宋体"/>
                <w:color w:val="auto"/>
              </w:rPr>
            </w:pPr>
            <w:r>
              <w:rPr>
                <w:rFonts w:hint="eastAsia" w:ascii="宋体" w:hAnsi="宋体" w:eastAsia="宋体" w:cs="宋体"/>
                <w:color w:val="auto"/>
              </w:rPr>
              <w:t>7、支持运行在虚拟机上，如果使用加密技术，可以使用软加密或硬件加密狗，不得使用硬件服务器相关信息加密方式。</w:t>
            </w:r>
          </w:p>
          <w:p>
            <w:pPr>
              <w:ind w:firstLine="210" w:firstLineChars="100"/>
              <w:rPr>
                <w:rFonts w:hint="eastAsia" w:ascii="宋体" w:hAnsi="宋体" w:eastAsia="宋体" w:cs="宋体"/>
                <w:color w:val="auto"/>
              </w:rPr>
            </w:pPr>
            <w:r>
              <w:rPr>
                <w:rFonts w:hint="eastAsia" w:ascii="宋体" w:hAnsi="宋体" w:eastAsia="宋体" w:cs="宋体"/>
                <w:color w:val="auto"/>
              </w:rPr>
              <w:t>8、支持以Web浏览器作为客户端进行系统管理与配置，并与教育厅相关部门对接。</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9、推荐品牌：海康威视、大华、宇视、紫光华智。投标人选投的设备品牌可以是招标人的参考品牌，如果在参考品牌之外自选品牌的，其技术标准与性能要求应相当于或者优于招标人的参考品牌和技术要求，并得到评标委员会的认可。</w:t>
            </w:r>
          </w:p>
        </w:tc>
      </w:tr>
      <w:bookmarkEnd w:id="1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w:t>
            </w:r>
          </w:p>
        </w:tc>
        <w:tc>
          <w:tcPr>
            <w:tcW w:w="463" w:type="pct"/>
            <w:vAlign w:val="center"/>
          </w:tcPr>
          <w:p>
            <w:pPr>
              <w:rPr>
                <w:rFonts w:hint="eastAsia" w:ascii="宋体" w:hAnsi="宋体" w:eastAsia="宋体" w:cs="宋体"/>
                <w:color w:val="auto"/>
              </w:rPr>
            </w:pPr>
            <w:r>
              <w:rPr>
                <w:rFonts w:hint="eastAsia" w:ascii="宋体" w:hAnsi="宋体" w:eastAsia="宋体" w:cs="宋体"/>
                <w:color w:val="auto"/>
              </w:rPr>
              <w:t>综合安防管理平台</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服务器：</w:t>
            </w:r>
          </w:p>
          <w:p>
            <w:pPr>
              <w:rPr>
                <w:rFonts w:hint="eastAsia" w:ascii="宋体" w:hAnsi="宋体" w:eastAsia="宋体" w:cs="宋体"/>
                <w:color w:val="auto"/>
              </w:rPr>
            </w:pPr>
            <w:r>
              <w:rPr>
                <w:rFonts w:hint="eastAsia" w:ascii="宋体" w:hAnsi="宋体" w:eastAsia="宋体" w:cs="宋体"/>
                <w:color w:val="auto"/>
              </w:rPr>
              <w:t>1、标准2U机架式服务器</w:t>
            </w:r>
          </w:p>
          <w:p>
            <w:pPr>
              <w:rPr>
                <w:rFonts w:hint="eastAsia" w:ascii="宋体" w:hAnsi="宋体" w:eastAsia="宋体" w:cs="宋体"/>
                <w:color w:val="auto"/>
              </w:rPr>
            </w:pPr>
            <w:r>
              <w:rPr>
                <w:rFonts w:hint="eastAsia" w:ascii="宋体" w:hAnsi="宋体" w:eastAsia="宋体" w:cs="宋体"/>
                <w:color w:val="auto"/>
              </w:rPr>
              <w:t>2、处理器：≥2颗intel 64位多核处理器，单CPU≥12核，主频≥2.2GHz</w:t>
            </w:r>
          </w:p>
          <w:p>
            <w:pPr>
              <w:rPr>
                <w:rFonts w:hint="eastAsia" w:ascii="宋体" w:hAnsi="宋体" w:eastAsia="宋体" w:cs="宋体"/>
                <w:color w:val="auto"/>
              </w:rPr>
            </w:pPr>
            <w:r>
              <w:rPr>
                <w:rFonts w:hint="eastAsia" w:ascii="宋体" w:hAnsi="宋体" w:eastAsia="宋体" w:cs="宋体"/>
                <w:color w:val="auto"/>
              </w:rPr>
              <w:t>★3、GPU：计算能力≥100TOPS INT8 Winograd ON，缓存≥32GB</w:t>
            </w:r>
          </w:p>
          <w:p>
            <w:pPr>
              <w:rPr>
                <w:rFonts w:hint="eastAsia" w:ascii="宋体" w:hAnsi="宋体" w:eastAsia="宋体" w:cs="宋体"/>
                <w:color w:val="auto"/>
              </w:rPr>
            </w:pPr>
            <w:r>
              <w:rPr>
                <w:rFonts w:hint="eastAsia" w:ascii="宋体" w:hAnsi="宋体" w:eastAsia="宋体" w:cs="宋体"/>
                <w:color w:val="auto"/>
              </w:rPr>
              <w:t>4、内存≥128G 3200MHz，内存插槽数量≥24</w:t>
            </w:r>
          </w:p>
          <w:p>
            <w:pPr>
              <w:rPr>
                <w:rFonts w:hint="eastAsia" w:ascii="宋体" w:hAnsi="宋体" w:eastAsia="宋体" w:cs="宋体"/>
                <w:color w:val="auto"/>
              </w:rPr>
            </w:pPr>
            <w:r>
              <w:rPr>
                <w:rFonts w:hint="eastAsia" w:ascii="宋体" w:hAnsi="宋体" w:eastAsia="宋体" w:cs="宋体"/>
                <w:color w:val="auto"/>
              </w:rPr>
              <w:t>5、硬件RAID 阵列卡，1个智能板卡，支持Raid1/10/5/6等</w:t>
            </w:r>
          </w:p>
          <w:p>
            <w:pPr>
              <w:rPr>
                <w:rFonts w:hint="eastAsia" w:ascii="宋体" w:hAnsi="宋体" w:eastAsia="宋体" w:cs="宋体"/>
                <w:color w:val="auto"/>
              </w:rPr>
            </w:pPr>
            <w:r>
              <w:rPr>
                <w:rFonts w:hint="eastAsia" w:ascii="宋体" w:hAnsi="宋体" w:eastAsia="宋体" w:cs="宋体"/>
                <w:color w:val="auto"/>
              </w:rPr>
              <w:t>6、网卡：≥4个千兆电口，支持扩展万兆端口</w:t>
            </w:r>
          </w:p>
          <w:p>
            <w:pPr>
              <w:rPr>
                <w:rFonts w:hint="eastAsia" w:ascii="宋体" w:hAnsi="宋体" w:eastAsia="宋体" w:cs="宋体"/>
                <w:color w:val="auto"/>
              </w:rPr>
            </w:pPr>
            <w:r>
              <w:rPr>
                <w:rFonts w:hint="eastAsia" w:ascii="宋体" w:hAnsi="宋体" w:eastAsia="宋体" w:cs="宋体"/>
                <w:color w:val="auto"/>
              </w:rPr>
              <w:t>7、其他接口：1个RJ45管理接口，≥5个USB3.0接口，1个VGA接口</w:t>
            </w:r>
          </w:p>
          <w:p>
            <w:pPr>
              <w:rPr>
                <w:rFonts w:hint="eastAsia" w:ascii="宋体" w:hAnsi="宋体" w:eastAsia="宋体" w:cs="宋体"/>
                <w:color w:val="auto"/>
              </w:rPr>
            </w:pPr>
            <w:r>
              <w:rPr>
                <w:rFonts w:hint="eastAsia" w:ascii="宋体" w:hAnsi="宋体" w:eastAsia="宋体" w:cs="宋体"/>
                <w:color w:val="auto"/>
              </w:rPr>
              <w:t>8、设备配置两块960GBSSD，系统盘，RAID1</w:t>
            </w:r>
          </w:p>
          <w:p>
            <w:pPr>
              <w:rPr>
                <w:rFonts w:hint="eastAsia" w:ascii="宋体" w:hAnsi="宋体" w:eastAsia="宋体" w:cs="宋体"/>
                <w:color w:val="auto"/>
              </w:rPr>
            </w:pPr>
            <w:r>
              <w:rPr>
                <w:rFonts w:hint="eastAsia" w:ascii="宋体" w:hAnsi="宋体" w:eastAsia="宋体" w:cs="宋体"/>
                <w:color w:val="auto"/>
              </w:rPr>
              <w:t>9、电源 1+1冗余设计，风扇 5+1冗余设计,支持风扇模块、电源模块的热插拔</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★10、标配远程可视化管理（包括部署操作系统）</w:t>
            </w:r>
          </w:p>
          <w:p>
            <w:pPr>
              <w:rPr>
                <w:rFonts w:hint="eastAsia" w:ascii="宋体" w:hAnsi="宋体" w:eastAsia="宋体" w:cs="宋体"/>
                <w:color w:val="auto"/>
              </w:rPr>
            </w:pPr>
            <w:r>
              <w:rPr>
                <w:rFonts w:hint="eastAsia" w:ascii="宋体" w:hAnsi="宋体" w:eastAsia="宋体" w:cs="宋体"/>
                <w:color w:val="auto"/>
              </w:rPr>
              <w:t>平台功能要求：</w:t>
            </w:r>
          </w:p>
          <w:p>
            <w:pPr>
              <w:rPr>
                <w:rFonts w:hint="eastAsia" w:ascii="宋体" w:hAnsi="宋体" w:eastAsia="宋体" w:cs="宋体"/>
                <w:color w:val="auto"/>
              </w:rPr>
            </w:pPr>
            <w:r>
              <w:rPr>
                <w:rFonts w:hint="eastAsia" w:ascii="宋体" w:hAnsi="宋体" w:eastAsia="宋体" w:cs="宋体"/>
                <w:color w:val="auto"/>
              </w:rPr>
              <w:t>★1、平台配置视频监控模块、人脸抓拍模块，支持包括人脸道闸模块、访客验证模块、电子巡更模块、电子测速模块、电子地图、系统运维、AR实景、视频图像质量诊断等在内的校园安防平台常见模块。提供厂家相关证明材料并加盖厂家和投标人公章。</w:t>
            </w:r>
          </w:p>
          <w:p>
            <w:pPr>
              <w:rPr>
                <w:rFonts w:hint="eastAsia" w:ascii="宋体" w:hAnsi="宋体" w:eastAsia="宋体" w:cs="宋体"/>
                <w:color w:val="auto"/>
              </w:rPr>
            </w:pPr>
            <w:r>
              <w:rPr>
                <w:rFonts w:hint="eastAsia" w:ascii="宋体" w:hAnsi="宋体" w:eastAsia="宋体" w:cs="宋体"/>
                <w:color w:val="auto"/>
              </w:rPr>
              <w:t>★2、免费支持不同厂家的各类前端设备接入，投标人必须出具承诺函并加盖投标人公章，且对接所产生的费用须由投标人承担。</w:t>
            </w:r>
          </w:p>
          <w:p>
            <w:pPr>
              <w:rPr>
                <w:rFonts w:hint="eastAsia" w:ascii="宋体" w:hAnsi="宋体" w:eastAsia="宋体" w:cs="宋体"/>
                <w:color w:val="auto"/>
              </w:rPr>
            </w:pPr>
            <w:r>
              <w:rPr>
                <w:rFonts w:hint="eastAsia" w:ascii="宋体" w:hAnsi="宋体" w:eastAsia="宋体" w:cs="宋体"/>
                <w:color w:val="auto"/>
              </w:rPr>
              <w:t>3、符合《普通高等学校安全技术防范系统要求（GB/T 31068-2014）》</w:t>
            </w:r>
          </w:p>
          <w:p>
            <w:pPr>
              <w:rPr>
                <w:rFonts w:hint="eastAsia" w:ascii="宋体" w:hAnsi="宋体" w:eastAsia="宋体" w:cs="宋体"/>
                <w:color w:val="auto"/>
              </w:rPr>
            </w:pPr>
            <w:r>
              <w:rPr>
                <w:rFonts w:hint="eastAsia" w:ascii="宋体" w:hAnsi="宋体" w:eastAsia="宋体" w:cs="宋体"/>
                <w:color w:val="auto"/>
              </w:rPr>
              <w:t>4、平台需支持统一的认证（cas，ldap等）和本地用户认证，支持HTTPS以及密码安全加密访问认证；</w:t>
            </w:r>
          </w:p>
          <w:p>
            <w:pPr>
              <w:rPr>
                <w:rFonts w:hint="eastAsia" w:ascii="宋体" w:hAnsi="宋体" w:eastAsia="宋体" w:cs="宋体"/>
                <w:color w:val="auto"/>
              </w:rPr>
            </w:pPr>
            <w:r>
              <w:rPr>
                <w:rFonts w:hint="eastAsia" w:ascii="宋体" w:hAnsi="宋体" w:eastAsia="宋体" w:cs="宋体"/>
                <w:color w:val="auto"/>
              </w:rPr>
              <w:t>5、支持监控点统计，支持包括设备在线率、 监控点在线率、视频达标率、报警统计等。</w:t>
            </w:r>
          </w:p>
          <w:p>
            <w:pPr>
              <w:rPr>
                <w:rFonts w:hint="eastAsia" w:ascii="宋体" w:hAnsi="宋体" w:eastAsia="宋体" w:cs="宋体"/>
                <w:color w:val="auto"/>
              </w:rPr>
            </w:pPr>
            <w:r>
              <w:rPr>
                <w:rFonts w:hint="eastAsia" w:ascii="宋体" w:hAnsi="宋体" w:eastAsia="宋体" w:cs="宋体"/>
                <w:color w:val="auto"/>
              </w:rPr>
              <w:t>6、支持分级授权管理机制，可对指定账号授予指定系统模块的权限、指定监控摄像机的访问权限、指定人脸抓拍摄像机识别结果的访问权限；支持教职工、学生、服务外包人员和家长等不同类型人员的管理，满足学校多重管理需求</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配置视频质量诊断功能，可对视频进行分析诊断，可按下列异常类型进行配置：视频抖动；条纹干扰；视频信号丢失；视频遮挡；视频卡顿（冻结）；视频对比度异常；亮度异常；噪声干扰；颜色异常（偏色）；清晰度异常；场景变化；横纹干扰；滚动条纹。</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★8、支持最大接入码流为1024Mbps，最大转发码流为1024Mbps 。最大回放码流为1024Mbps。</w:t>
            </w:r>
          </w:p>
          <w:p>
            <w:pPr>
              <w:rPr>
                <w:rFonts w:hint="eastAsia" w:ascii="宋体" w:hAnsi="宋体" w:eastAsia="宋体" w:cs="宋体"/>
                <w:color w:val="auto"/>
              </w:rPr>
            </w:pPr>
            <w:r>
              <w:rPr>
                <w:rFonts w:hint="eastAsia" w:ascii="宋体" w:hAnsi="宋体" w:eastAsia="宋体" w:cs="宋体"/>
                <w:color w:val="auto"/>
              </w:rPr>
              <w:t>9、软件平台需支持安全防护，支持验证码、连续登陆尝试次数、用户IP地址限制等多种验证方式，支持登录密码强度提醒，用户密码强度设置，支持密码重置功能</w:t>
            </w:r>
          </w:p>
          <w:p>
            <w:pPr>
              <w:rPr>
                <w:rFonts w:hint="eastAsia" w:ascii="宋体" w:hAnsi="宋体" w:eastAsia="宋体" w:cs="宋体"/>
                <w:color w:val="auto"/>
              </w:rPr>
            </w:pPr>
            <w:r>
              <w:rPr>
                <w:rFonts w:hint="eastAsia" w:ascii="宋体" w:hAnsi="宋体" w:eastAsia="宋体" w:cs="宋体"/>
                <w:color w:val="auto"/>
              </w:rPr>
              <w:t>10、支持查看摄像机、轮切、组显示、轮巡、场景资源的实况</w:t>
            </w:r>
          </w:p>
          <w:p>
            <w:pPr>
              <w:rPr>
                <w:rFonts w:hint="eastAsia" w:ascii="宋体" w:hAnsi="宋体" w:eastAsia="宋体" w:cs="宋体"/>
                <w:color w:val="auto"/>
              </w:rPr>
            </w:pPr>
            <w:r>
              <w:rPr>
                <w:rFonts w:hint="eastAsia" w:ascii="宋体" w:hAnsi="宋体" w:eastAsia="宋体" w:cs="宋体"/>
                <w:color w:val="auto"/>
              </w:rPr>
              <w:t>11、支持查询回放、分段回放录像、录像切片等操作</w:t>
            </w:r>
          </w:p>
          <w:p>
            <w:pPr>
              <w:rPr>
                <w:rFonts w:hint="eastAsia" w:ascii="宋体" w:hAnsi="宋体" w:eastAsia="宋体" w:cs="宋体"/>
                <w:color w:val="auto"/>
              </w:rPr>
            </w:pPr>
            <w:r>
              <w:rPr>
                <w:rFonts w:hint="eastAsia" w:ascii="宋体" w:hAnsi="宋体" w:eastAsia="宋体" w:cs="宋体"/>
                <w:color w:val="auto"/>
              </w:rPr>
              <w:t>12、支持配置并启动电视墙业务</w:t>
            </w:r>
          </w:p>
          <w:p>
            <w:pPr>
              <w:rPr>
                <w:rFonts w:hint="eastAsia" w:ascii="宋体" w:hAnsi="宋体" w:eastAsia="宋体" w:cs="宋体"/>
                <w:color w:val="auto"/>
              </w:rPr>
            </w:pPr>
            <w:r>
              <w:rPr>
                <w:rFonts w:hint="eastAsia" w:ascii="宋体" w:hAnsi="宋体" w:eastAsia="宋体" w:cs="宋体"/>
                <w:color w:val="auto"/>
              </w:rPr>
              <w:t>13、支持对监控点、编码设备、门禁设备的在线状态进行设备巡检，并以统计图方式展示巡检结果</w:t>
            </w:r>
          </w:p>
          <w:p>
            <w:pPr>
              <w:rPr>
                <w:rFonts w:hint="eastAsia" w:ascii="宋体" w:hAnsi="宋体" w:eastAsia="宋体" w:cs="宋体"/>
                <w:color w:val="auto"/>
              </w:rPr>
            </w:pPr>
            <w:r>
              <w:rPr>
                <w:rFonts w:hint="eastAsia" w:ascii="宋体" w:hAnsi="宋体" w:eastAsia="宋体" w:cs="宋体"/>
                <w:color w:val="auto"/>
              </w:rPr>
              <w:t>★14、支持BS客户端、CS客户端、移动客户端（Android、iOS）视频预览，支持多浏览器实时预览；支持在手机上用移动客户端实时预览视频通道画面、并可用移动客户端进行云台控制，视频通道录像回放，查看报警信息。</w:t>
            </w:r>
          </w:p>
          <w:p>
            <w:pPr>
              <w:rPr>
                <w:rFonts w:hint="eastAsia" w:ascii="宋体" w:hAnsi="宋体" w:eastAsia="宋体" w:cs="宋体"/>
                <w:color w:val="auto"/>
              </w:rPr>
            </w:pPr>
            <w:r>
              <w:rPr>
                <w:rFonts w:hint="eastAsia" w:ascii="宋体" w:hAnsi="宋体" w:eastAsia="宋体" w:cs="宋体"/>
                <w:color w:val="auto"/>
              </w:rPr>
              <w:t>15、支持自动在1/4/6/8/9/16/24画面分隔模式间进行监控点轮巡预览，轮巡时间可设置，支持全屏显示，预览画面支持监控点信息、语音对讲、开关声音、抓图、多图抓拍等</w:t>
            </w:r>
          </w:p>
          <w:p>
            <w:pPr>
              <w:rPr>
                <w:rFonts w:hint="eastAsia" w:ascii="宋体" w:hAnsi="宋体" w:eastAsia="宋体" w:cs="宋体"/>
                <w:color w:val="auto"/>
              </w:rPr>
            </w:pPr>
            <w:r>
              <w:rPr>
                <w:rFonts w:hint="eastAsia" w:ascii="宋体" w:hAnsi="宋体" w:eastAsia="宋体" w:cs="宋体"/>
                <w:color w:val="auto"/>
              </w:rPr>
              <w:t>16、支持按时间、监控点、录像存储方式检索录像；客户端回放支持最大16画面分隔模式及全屏显示；支持单帧回放、播放速度控制（16倍加速或加速）、同步回放、异步回放；录像回放支持拖动进度条或指定时间点来进行录像定位；支持分段回放，以分段缩略图展示录像片段</w:t>
            </w:r>
          </w:p>
          <w:p>
            <w:pPr>
              <w:rPr>
                <w:rFonts w:hint="eastAsia" w:ascii="宋体" w:hAnsi="宋体" w:eastAsia="宋体" w:cs="宋体"/>
                <w:color w:val="auto"/>
              </w:rPr>
            </w:pPr>
            <w:r>
              <w:rPr>
                <w:rFonts w:hint="eastAsia" w:ascii="宋体" w:hAnsi="宋体" w:eastAsia="宋体" w:cs="宋体"/>
                <w:color w:val="auto"/>
              </w:rPr>
              <w:t>17、支持人脸监控，查询管理人脸识别、抓拍的记录，查询指定人员的人脸识别记录。展示人脸识别的总体情况，运行状态，生成相关的运行分析报告</w:t>
            </w:r>
          </w:p>
          <w:p>
            <w:pPr>
              <w:rPr>
                <w:rFonts w:hint="eastAsia" w:ascii="宋体" w:hAnsi="宋体" w:eastAsia="宋体" w:cs="宋体"/>
                <w:color w:val="auto"/>
              </w:rPr>
            </w:pPr>
            <w:r>
              <w:rPr>
                <w:rFonts w:hint="eastAsia" w:ascii="宋体" w:hAnsi="宋体" w:eastAsia="宋体" w:cs="宋体"/>
                <w:color w:val="auto"/>
              </w:rPr>
              <w:t>★18、支持对重点人员识别，处于重点人员名单内的人脸出现时，系统自动报警</w:t>
            </w:r>
          </w:p>
          <w:p>
            <w:pPr>
              <w:rPr>
                <w:rFonts w:hint="eastAsia" w:ascii="宋体" w:hAnsi="宋体" w:eastAsia="宋体" w:cs="宋体"/>
                <w:color w:val="auto"/>
              </w:rPr>
            </w:pPr>
            <w:r>
              <w:rPr>
                <w:rFonts w:hint="eastAsia" w:ascii="宋体" w:hAnsi="宋体" w:eastAsia="宋体" w:cs="宋体"/>
                <w:color w:val="auto"/>
              </w:rPr>
              <w:t>19、支持监测某一监控区域的进出人数和区域人数情况，以便掌握人流动态信息，可适时制定相关的疏散、维稳措施，保障区域内的人员安全</w:t>
            </w:r>
          </w:p>
          <w:p>
            <w:pPr>
              <w:rPr>
                <w:rFonts w:hint="eastAsia" w:ascii="宋体" w:hAnsi="宋体" w:eastAsia="宋体" w:cs="宋体"/>
                <w:color w:val="auto"/>
              </w:rPr>
            </w:pPr>
            <w:r>
              <w:rPr>
                <w:rFonts w:hint="eastAsia" w:ascii="宋体" w:hAnsi="宋体" w:eastAsia="宋体" w:cs="宋体"/>
                <w:color w:val="auto"/>
              </w:rPr>
              <w:t>20、支持照片查询人脸轨迹。通过轨迹可以获取该人员的活动范围、落脚点等有用线索</w:t>
            </w:r>
          </w:p>
          <w:p>
            <w:pPr>
              <w:rPr>
                <w:rFonts w:hint="eastAsia" w:ascii="宋体" w:hAnsi="宋体" w:eastAsia="宋体" w:cs="宋体"/>
                <w:color w:val="auto"/>
              </w:rPr>
            </w:pPr>
            <w:r>
              <w:rPr>
                <w:rFonts w:hint="eastAsia" w:ascii="宋体" w:hAnsi="宋体" w:eastAsia="宋体" w:cs="宋体"/>
                <w:color w:val="auto"/>
              </w:rPr>
              <w:t>21、支持与省教育厅和公安相关系统（监控、报警）的对接以及与智慧校园的对接。</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★22、配置设备接入许可不少于500；</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平台算法功能要求</w:t>
            </w:r>
          </w:p>
          <w:p>
            <w:pPr>
              <w:rPr>
                <w:rFonts w:hint="eastAsia" w:ascii="宋体" w:hAnsi="宋体" w:eastAsia="宋体" w:cs="宋体"/>
                <w:color w:val="auto"/>
              </w:rPr>
            </w:pPr>
            <w:r>
              <w:rPr>
                <w:rFonts w:hint="eastAsia" w:ascii="宋体" w:hAnsi="宋体" w:eastAsia="宋体" w:cs="宋体"/>
                <w:color w:val="auto"/>
              </w:rPr>
              <w:t>1、支持单路智能解析任务同时可以完成人脸识别和视频结构化功能。</w:t>
            </w:r>
          </w:p>
          <w:p>
            <w:pPr>
              <w:rPr>
                <w:rFonts w:hint="eastAsia" w:ascii="宋体" w:hAnsi="宋体" w:eastAsia="宋体" w:cs="宋体"/>
                <w:color w:val="auto"/>
              </w:rPr>
            </w:pPr>
            <w:r>
              <w:rPr>
                <w:rFonts w:hint="eastAsia" w:ascii="宋体" w:hAnsi="宋体" w:eastAsia="宋体" w:cs="宋体"/>
                <w:color w:val="auto"/>
              </w:rPr>
              <w:t>2、支持视频截图搜索，支持对抓拍的人脸图片、人体图片、背影图片进行框选以图搜图</w:t>
            </w:r>
          </w:p>
          <w:p>
            <w:pPr>
              <w:rPr>
                <w:rFonts w:hint="eastAsia" w:ascii="宋体" w:hAnsi="宋体" w:eastAsia="宋体" w:cs="宋体"/>
                <w:color w:val="auto"/>
              </w:rPr>
            </w:pPr>
            <w:r>
              <w:rPr>
                <w:rFonts w:hint="eastAsia" w:ascii="宋体" w:hAnsi="宋体" w:eastAsia="宋体" w:cs="宋体"/>
                <w:color w:val="auto"/>
              </w:rPr>
              <w:t>3、支持对重点人员识别，处于重点人员名单内的人脸出现时，系统自动报警。</w:t>
            </w:r>
          </w:p>
          <w:p>
            <w:pPr>
              <w:rPr>
                <w:rFonts w:hint="eastAsia" w:ascii="宋体" w:hAnsi="宋体" w:eastAsia="宋体" w:cs="宋体"/>
                <w:color w:val="auto"/>
              </w:rPr>
            </w:pPr>
            <w:r>
              <w:rPr>
                <w:rFonts w:hint="eastAsia" w:ascii="宋体" w:hAnsi="宋体" w:eastAsia="宋体" w:cs="宋体"/>
                <w:color w:val="auto"/>
              </w:rPr>
              <w:t xml:space="preserve">4、★最大支持200路实时视频流分析，实配支持不少于60路视频流分析。 </w:t>
            </w:r>
          </w:p>
          <w:p>
            <w:pPr>
              <w:rPr>
                <w:rFonts w:hint="eastAsia" w:ascii="宋体" w:hAnsi="宋体" w:eastAsia="宋体" w:cs="宋体"/>
                <w:color w:val="auto"/>
              </w:rPr>
            </w:pPr>
            <w:r>
              <w:rPr>
                <w:rFonts w:hint="eastAsia" w:ascii="宋体" w:hAnsi="宋体" w:eastAsia="宋体" w:cs="宋体"/>
                <w:color w:val="auto"/>
              </w:rPr>
              <w:t>5、支持对视频进行机动车、非机动车、行人混合识别。</w:t>
            </w:r>
          </w:p>
          <w:p>
            <w:pPr>
              <w:rPr>
                <w:rFonts w:hint="eastAsia" w:ascii="宋体" w:hAnsi="宋体" w:eastAsia="宋体" w:cs="宋体"/>
                <w:color w:val="auto"/>
              </w:rPr>
            </w:pPr>
            <w:r>
              <w:rPr>
                <w:rFonts w:hint="eastAsia" w:ascii="宋体" w:hAnsi="宋体" w:eastAsia="宋体" w:cs="宋体"/>
                <w:color w:val="auto"/>
              </w:rPr>
              <w:t>6、支持配置包括海康威视、大华、宇视、紫光华智等在内的多种主流厂家算法。</w:t>
            </w:r>
          </w:p>
          <w:p>
            <w:pPr>
              <w:rPr>
                <w:rFonts w:hint="eastAsia" w:ascii="宋体" w:hAnsi="宋体" w:eastAsia="宋体" w:cs="宋体"/>
                <w:color w:val="auto"/>
              </w:rPr>
            </w:pPr>
            <w:r>
              <w:rPr>
                <w:rFonts w:hint="eastAsia" w:ascii="宋体" w:hAnsi="宋体" w:eastAsia="宋体" w:cs="宋体"/>
                <w:color w:val="auto"/>
              </w:rPr>
              <w:t>7、★配置人脸识别、进入区域、离开区域、徘徊滞留、攀高、肢体冲突、区域内人数统计、进出人数统计等算法。</w:t>
            </w:r>
          </w:p>
          <w:p>
            <w:pPr>
              <w:rPr>
                <w:rFonts w:hint="eastAsia" w:ascii="宋体" w:hAnsi="宋体" w:eastAsia="宋体" w:cs="宋体"/>
                <w:color w:val="auto"/>
              </w:rPr>
            </w:pPr>
            <w:r>
              <w:rPr>
                <w:rFonts w:hint="eastAsia" w:ascii="宋体" w:hAnsi="宋体" w:eastAsia="宋体" w:cs="宋体"/>
                <w:color w:val="auto"/>
              </w:rPr>
              <w:t>8、支持查询管理人脸识别、抓拍的记录，支持最大100个名单库，单个名单库可支持20万。</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套</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590" w:type="pct"/>
            <w:vAlign w:val="center"/>
          </w:tcPr>
          <w:p>
            <w:pPr>
              <w:jc w:val="left"/>
              <w:textAlignment w:val="center"/>
              <w:rPr>
                <w:rFonts w:hint="eastAsia" w:ascii="宋体" w:hAnsi="宋体" w:eastAsia="宋体" w:cs="宋体"/>
                <w:color w:val="auto"/>
              </w:rPr>
            </w:pPr>
            <w:r>
              <w:rPr>
                <w:rFonts w:hint="eastAsia" w:ascii="宋体" w:hAnsi="宋体" w:eastAsia="宋体" w:cs="宋体"/>
                <w:color w:val="auto"/>
              </w:rPr>
              <w:t>综合安防管理平台的功能（包括但不限于人脸识别、智慧校园综合管理、流媒体服务、系统运维服务等）可以分布在多台服务器上，相应地，应提供多台服务器，配置参考服务器配置。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集中存储</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1、★总可用容量可保存本项目中所有摄像机监控录像45天以上；</w:t>
            </w:r>
          </w:p>
          <w:p>
            <w:pPr>
              <w:rPr>
                <w:rFonts w:hint="eastAsia" w:ascii="宋体" w:hAnsi="宋体" w:eastAsia="宋体" w:cs="宋体"/>
                <w:color w:val="auto"/>
              </w:rPr>
            </w:pPr>
            <w:r>
              <w:rPr>
                <w:rFonts w:hint="eastAsia" w:ascii="宋体" w:hAnsi="宋体" w:eastAsia="宋体" w:cs="宋体"/>
                <w:color w:val="auto"/>
              </w:rPr>
              <w:t>2、★配置磁盘为企业级监控专用磁盘，单盘容量8TB以上，裸容量760TB以上；</w:t>
            </w:r>
          </w:p>
          <w:p>
            <w:pPr>
              <w:rPr>
                <w:rFonts w:hint="eastAsia" w:ascii="宋体" w:hAnsi="宋体" w:eastAsia="宋体" w:cs="宋体"/>
                <w:color w:val="auto"/>
              </w:rPr>
            </w:pPr>
            <w:r>
              <w:rPr>
                <w:rFonts w:hint="eastAsia" w:ascii="宋体" w:hAnsi="宋体" w:eastAsia="宋体" w:cs="宋体"/>
                <w:color w:val="auto"/>
              </w:rPr>
              <w:t>3、★单盘柜SATA硬盘位不少于24个，硬盘容量支持1TB至16TB；</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4、单存储节点支持≥1280路2Mbps视频流的同时，可读取≥128路2Mbps视频流</w:t>
            </w:r>
          </w:p>
          <w:p>
            <w:pPr>
              <w:rPr>
                <w:rFonts w:hint="eastAsia" w:ascii="宋体" w:hAnsi="宋体" w:eastAsia="宋体" w:cs="宋体"/>
                <w:color w:val="auto"/>
              </w:rPr>
            </w:pPr>
            <w:r>
              <w:rPr>
                <w:rFonts w:hint="eastAsia" w:ascii="宋体" w:hAnsi="宋体" w:eastAsia="宋体" w:cs="宋体"/>
                <w:color w:val="auto"/>
              </w:rPr>
              <w:t>5、支持接入协议Onvif、GB/T 28181；支持流媒体协议直接存储功能；</w:t>
            </w:r>
          </w:p>
          <w:p>
            <w:pPr>
              <w:rPr>
                <w:rFonts w:hint="eastAsia" w:ascii="宋体" w:hAnsi="宋体" w:eastAsia="宋体" w:cs="宋体"/>
                <w:color w:val="auto"/>
              </w:rPr>
            </w:pPr>
            <w:r>
              <w:rPr>
                <w:rFonts w:hint="eastAsia" w:ascii="宋体" w:hAnsi="宋体" w:eastAsia="宋体" w:cs="宋体"/>
                <w:color w:val="auto"/>
              </w:rPr>
              <w:t>6、支持同时开启SAN、NAS模式；支持视频流存储模式、图片直存模式；</w:t>
            </w:r>
          </w:p>
          <w:p>
            <w:pPr>
              <w:rPr>
                <w:rFonts w:hint="eastAsia" w:ascii="宋体" w:hAnsi="宋体" w:eastAsia="宋体" w:cs="宋体"/>
                <w:color w:val="auto"/>
              </w:rPr>
            </w:pPr>
            <w:r>
              <w:rPr>
                <w:rFonts w:hint="eastAsia" w:ascii="宋体" w:hAnsi="宋体" w:eastAsia="宋体" w:cs="宋体"/>
                <w:color w:val="auto"/>
              </w:rPr>
              <w:t>7、★12GRaid卡，2GBCache，配置超级电容模块，支持断电保护，节点异常掉电时缓存数据无丢失，支持RAID0、RAID1、RAID5、RAID6、RAID10、RAID50、RAID60、VRAID等模式，支持RAID即建即用模式。支持RAID组扩容，新增加的硬盘加入RAID组，不影响原有录像，扩容过程中业务不中断，硬盘读写状态正常。</w:t>
            </w:r>
          </w:p>
          <w:p>
            <w:pPr>
              <w:rPr>
                <w:rFonts w:hint="eastAsia" w:ascii="宋体" w:hAnsi="宋体" w:eastAsia="宋体" w:cs="宋体"/>
                <w:color w:val="auto"/>
              </w:rPr>
            </w:pPr>
            <w:r>
              <w:rPr>
                <w:rFonts w:hint="eastAsia" w:ascii="宋体" w:hAnsi="宋体" w:eastAsia="宋体" w:cs="宋体"/>
                <w:color w:val="auto"/>
              </w:rPr>
              <w:t>8、配置Intel志强二代可扩展处理器；支持不少于16个内存卡槽，标配16GB内存，可扩展至256GB；支持扩展不少于4个万兆网络接口，配置不少于4 个千兆网络接口（不含带外管理端口和调试端口）；</w:t>
            </w:r>
          </w:p>
          <w:p>
            <w:pPr>
              <w:rPr>
                <w:rFonts w:hint="eastAsia" w:ascii="宋体" w:hAnsi="宋体" w:eastAsia="宋体" w:cs="宋体"/>
                <w:color w:val="auto"/>
              </w:rPr>
            </w:pPr>
            <w:r>
              <w:rPr>
                <w:rFonts w:hint="eastAsia" w:ascii="宋体" w:hAnsi="宋体" w:eastAsia="宋体" w:cs="宋体"/>
                <w:color w:val="auto"/>
              </w:rPr>
              <w:t>9、★支持对硬件组件（CPU、内存、风扇、电源、硬盘等）工作状态进行监测以及报警，并可根据设置的阈值输出报警级别。</w:t>
            </w:r>
          </w:p>
          <w:p>
            <w:pPr>
              <w:rPr>
                <w:rFonts w:hint="eastAsia" w:ascii="宋体" w:hAnsi="宋体" w:eastAsia="宋体" w:cs="宋体"/>
                <w:color w:val="auto"/>
              </w:rPr>
            </w:pPr>
            <w:r>
              <w:rPr>
                <w:rFonts w:hint="eastAsia" w:ascii="宋体" w:hAnsi="宋体" w:eastAsia="宋体" w:cs="宋体"/>
                <w:color w:val="auto"/>
              </w:rPr>
              <w:t>10、★管理端完成配置后，支持客户端参数进行一键配置。设备运行状态下，可一键配置存储模式，自动实现RAID创建和空间划分及IPSAN服务配置。</w:t>
            </w:r>
          </w:p>
          <w:p>
            <w:pPr>
              <w:rPr>
                <w:rFonts w:hint="eastAsia" w:ascii="宋体" w:hAnsi="宋体" w:eastAsia="宋体" w:cs="宋体"/>
                <w:color w:val="auto"/>
              </w:rPr>
            </w:pPr>
            <w:r>
              <w:rPr>
                <w:rFonts w:hint="eastAsia" w:ascii="宋体" w:hAnsi="宋体" w:eastAsia="宋体" w:cs="宋体"/>
                <w:color w:val="auto"/>
              </w:rPr>
              <w:t>11、★标配满电源和风扇、支持双BIOS模块，支持电源自动故障切换和在线故障电源的更换；支持RAID中磁盘发生故障导致RAID阵列处于降级/重建状态下，同时写入512路4M视频流时，数据写入无任何影响</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12、单台配置4千兆以太网接口，2个USB2.0、2个PCIE插槽</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套</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590" w:type="pct"/>
            <w:vAlign w:val="center"/>
          </w:tcPr>
          <w:p>
            <w:pPr>
              <w:jc w:val="left"/>
              <w:textAlignment w:val="center"/>
              <w:rPr>
                <w:rFonts w:hint="eastAsia" w:ascii="宋体" w:hAnsi="宋体" w:eastAsia="宋体" w:cs="宋体"/>
                <w:color w:val="auto"/>
              </w:rPr>
            </w:pPr>
            <w:r>
              <w:rPr>
                <w:rFonts w:hint="eastAsia" w:ascii="宋体" w:hAnsi="宋体" w:eastAsia="宋体" w:cs="宋体"/>
                <w:color w:val="auto"/>
              </w:rPr>
              <w:t>1、可以使用多台相同配置存储组成一套集中存储，总容量、功能和性能满足项目需求。</w:t>
            </w:r>
          </w:p>
          <w:p>
            <w:pPr>
              <w:jc w:val="left"/>
              <w:textAlignment w:val="center"/>
              <w:rPr>
                <w:rFonts w:hint="eastAsia" w:ascii="宋体" w:hAnsi="宋体" w:eastAsia="宋体" w:cs="宋体"/>
                <w:color w:val="auto"/>
              </w:rPr>
            </w:pPr>
            <w:r>
              <w:rPr>
                <w:rFonts w:hint="eastAsia" w:ascii="宋体" w:hAnsi="宋体" w:eastAsia="宋体" w:cs="宋体"/>
                <w:color w:val="auto"/>
              </w:rPr>
              <w:t>2、监控集中存储如具有带外管理接口，则应配置全功能带外管理，特别是远程可视化管理。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1-3</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移动管理客户端</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Surface Pro 8（i5/16GB/512GB）</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590" w:type="pct"/>
            <w:vAlign w:val="center"/>
          </w:tcPr>
          <w:p>
            <w:pPr>
              <w:jc w:val="left"/>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1-4</w:t>
            </w:r>
          </w:p>
        </w:tc>
        <w:tc>
          <w:tcPr>
            <w:tcW w:w="463" w:type="pct"/>
            <w:shd w:val="clear" w:color="auto" w:fill="auto"/>
            <w:vAlign w:val="center"/>
          </w:tcPr>
          <w:p>
            <w:pPr>
              <w:textAlignment w:val="center"/>
              <w:rPr>
                <w:rFonts w:hint="eastAsia" w:ascii="宋体" w:hAnsi="宋体" w:eastAsia="宋体" w:cs="宋体"/>
                <w:color w:val="auto"/>
              </w:rPr>
            </w:pPr>
            <w:r>
              <w:rPr>
                <w:rFonts w:hint="eastAsia" w:ascii="宋体" w:hAnsi="宋体" w:eastAsia="宋体" w:cs="宋体"/>
                <w:color w:val="auto"/>
              </w:rPr>
              <w:t>拼接屏</w:t>
            </w:r>
          </w:p>
        </w:tc>
        <w:tc>
          <w:tcPr>
            <w:tcW w:w="3090" w:type="pct"/>
            <w:shd w:val="clear" w:color="auto" w:fill="auto"/>
            <w:vAlign w:val="center"/>
          </w:tcPr>
          <w:p>
            <w:pPr>
              <w:rPr>
                <w:rFonts w:hint="eastAsia" w:ascii="宋体" w:hAnsi="宋体" w:eastAsia="宋体" w:cs="宋体"/>
                <w:color w:val="auto"/>
              </w:rPr>
            </w:pPr>
            <w:r>
              <w:rPr>
                <w:rFonts w:hint="eastAsia" w:ascii="宋体" w:hAnsi="宋体" w:eastAsia="宋体" w:cs="宋体"/>
                <w:color w:val="auto"/>
              </w:rPr>
              <w:t>1、55寸液晶LED背光监视显示单元，支持多块拼接；</w:t>
            </w:r>
          </w:p>
          <w:p>
            <w:pPr>
              <w:rPr>
                <w:rFonts w:hint="eastAsia" w:ascii="宋体" w:hAnsi="宋体" w:eastAsia="宋体" w:cs="宋体"/>
                <w:color w:val="auto"/>
              </w:rPr>
            </w:pPr>
            <w:r>
              <w:rPr>
                <w:rFonts w:hint="eastAsia" w:ascii="宋体" w:hAnsi="宋体" w:eastAsia="宋体" w:cs="宋体"/>
                <w:color w:val="auto"/>
              </w:rPr>
              <w:t>2、像素间距（mm）：0.630(H)*0.630(V)；</w:t>
            </w:r>
          </w:p>
          <w:p>
            <w:pPr>
              <w:rPr>
                <w:rFonts w:hint="eastAsia" w:ascii="宋体" w:hAnsi="宋体" w:eastAsia="宋体" w:cs="宋体"/>
                <w:color w:val="auto"/>
              </w:rPr>
            </w:pPr>
            <w:r>
              <w:rPr>
                <w:rFonts w:hint="eastAsia" w:ascii="宋体" w:hAnsi="宋体" w:eastAsia="宋体" w:cs="宋体"/>
                <w:color w:val="auto"/>
              </w:rPr>
              <w:t>3、分辨率：1920*1080；亮度（cd/m2）：500；对比度：1200:1；响时间：≤8ms；</w:t>
            </w:r>
          </w:p>
          <w:p>
            <w:pPr>
              <w:rPr>
                <w:rFonts w:hint="eastAsia" w:ascii="宋体" w:hAnsi="宋体" w:eastAsia="宋体" w:cs="宋体"/>
                <w:color w:val="auto"/>
              </w:rPr>
            </w:pPr>
            <w:r>
              <w:rPr>
                <w:rFonts w:hint="eastAsia" w:ascii="宋体" w:hAnsi="宋体" w:eastAsia="宋体" w:cs="宋体"/>
                <w:color w:val="auto"/>
              </w:rPr>
              <w:t>4、3.5mm拼缝，含底座</w:t>
            </w:r>
          </w:p>
          <w:p>
            <w:pPr>
              <w:rPr>
                <w:rFonts w:hint="eastAsia" w:ascii="宋体" w:hAnsi="宋体" w:eastAsia="宋体" w:cs="宋体"/>
                <w:color w:val="auto"/>
              </w:rPr>
            </w:pPr>
            <w:r>
              <w:rPr>
                <w:rFonts w:hint="eastAsia" w:ascii="宋体" w:hAnsi="宋体" w:eastAsia="宋体" w:cs="宋体"/>
                <w:color w:val="auto"/>
              </w:rPr>
              <w:t>5、超高亮度、超高对比度、超耐用性</w:t>
            </w:r>
          </w:p>
          <w:p>
            <w:pPr>
              <w:rPr>
                <w:rFonts w:hint="eastAsia" w:ascii="宋体" w:hAnsi="宋体" w:eastAsia="宋体" w:cs="宋体"/>
                <w:color w:val="auto"/>
              </w:rPr>
            </w:pPr>
            <w:r>
              <w:rPr>
                <w:rFonts w:hint="eastAsia" w:ascii="宋体" w:hAnsi="宋体" w:eastAsia="宋体" w:cs="宋体"/>
                <w:color w:val="auto"/>
              </w:rPr>
              <w:t>6、整体结构需具备完整外壳，减少电线裸露，整体美观大方</w:t>
            </w:r>
          </w:p>
        </w:tc>
        <w:tc>
          <w:tcPr>
            <w:tcW w:w="294" w:type="pct"/>
            <w:shd w:val="clear" w:color="auto" w:fill="auto"/>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块</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4</w:t>
            </w:r>
          </w:p>
        </w:tc>
        <w:tc>
          <w:tcPr>
            <w:tcW w:w="590" w:type="pct"/>
          </w:tcPr>
          <w:p>
            <w:pPr>
              <w:jc w:val="left"/>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1-5</w:t>
            </w:r>
          </w:p>
        </w:tc>
        <w:tc>
          <w:tcPr>
            <w:tcW w:w="463" w:type="pct"/>
            <w:shd w:val="clear" w:color="auto" w:fill="auto"/>
            <w:vAlign w:val="center"/>
          </w:tcPr>
          <w:p>
            <w:pPr>
              <w:textAlignment w:val="center"/>
              <w:rPr>
                <w:rFonts w:hint="eastAsia" w:ascii="宋体" w:hAnsi="宋体" w:eastAsia="宋体" w:cs="宋体"/>
                <w:color w:val="auto"/>
              </w:rPr>
            </w:pPr>
            <w:r>
              <w:rPr>
                <w:rFonts w:hint="eastAsia" w:ascii="宋体" w:hAnsi="宋体" w:eastAsia="宋体" w:cs="宋体"/>
                <w:color w:val="auto"/>
              </w:rPr>
              <w:t>解码拼控一体机</w:t>
            </w:r>
          </w:p>
        </w:tc>
        <w:tc>
          <w:tcPr>
            <w:tcW w:w="3090" w:type="pct"/>
            <w:shd w:val="clear" w:color="auto" w:fill="auto"/>
            <w:vAlign w:val="center"/>
          </w:tcPr>
          <w:p>
            <w:pPr>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tab/>
            </w:r>
            <w:r>
              <w:rPr>
                <w:rFonts w:hint="eastAsia" w:ascii="宋体" w:hAnsi="宋体" w:eastAsia="宋体" w:cs="宋体"/>
                <w:color w:val="auto"/>
              </w:rPr>
              <w:t>支持H.264/265/MJPEG解码格式；</w:t>
            </w:r>
          </w:p>
          <w:p>
            <w:pPr>
              <w:rPr>
                <w:rFonts w:hint="eastAsia" w:ascii="宋体" w:hAnsi="宋体" w:eastAsia="宋体" w:cs="宋体"/>
                <w:color w:val="auto"/>
              </w:rPr>
            </w:pPr>
            <w:r>
              <w:rPr>
                <w:rFonts w:hint="eastAsia" w:ascii="宋体" w:hAnsi="宋体" w:eastAsia="宋体" w:cs="宋体"/>
                <w:color w:val="auto"/>
              </w:rPr>
              <w:t xml:space="preserve">2、解码能力：7路4096*2160@25fps，或20路2560*1440@25fps，或40路1920*1080@30fps实时视频解码； </w:t>
            </w:r>
          </w:p>
          <w:p>
            <w:pPr>
              <w:rPr>
                <w:rFonts w:hint="eastAsia" w:ascii="宋体" w:hAnsi="宋体" w:eastAsia="宋体" w:cs="宋体"/>
                <w:color w:val="auto"/>
              </w:rPr>
            </w:pPr>
            <w:r>
              <w:rPr>
                <w:rFonts w:hint="eastAsia" w:ascii="宋体" w:hAnsi="宋体" w:eastAsia="宋体" w:cs="宋体"/>
                <w:color w:val="auto"/>
              </w:rPr>
              <w:t xml:space="preserve">3、输入通道：1路HDMI视频输入接口；输出通道：5路HDMI视频输出接口； </w:t>
            </w:r>
          </w:p>
          <w:p>
            <w:pPr>
              <w:rPr>
                <w:rFonts w:hint="eastAsia" w:ascii="宋体" w:hAnsi="宋体" w:eastAsia="宋体" w:cs="宋体"/>
                <w:color w:val="auto"/>
              </w:rPr>
            </w:pPr>
            <w:r>
              <w:rPr>
                <w:rFonts w:hint="eastAsia" w:ascii="宋体" w:hAnsi="宋体" w:eastAsia="宋体" w:cs="宋体"/>
                <w:color w:val="auto"/>
              </w:rPr>
              <w:t>4、2个RJ45，千兆网口,支持负载均衡；</w:t>
            </w:r>
          </w:p>
          <w:p>
            <w:pPr>
              <w:rPr>
                <w:rFonts w:hint="eastAsia" w:ascii="宋体" w:hAnsi="宋体" w:eastAsia="宋体" w:cs="宋体"/>
                <w:color w:val="auto"/>
              </w:rPr>
            </w:pPr>
            <w:r>
              <w:rPr>
                <w:rFonts w:hint="eastAsia" w:ascii="宋体" w:hAnsi="宋体" w:eastAsia="宋体" w:cs="宋体"/>
                <w:color w:val="auto"/>
              </w:rPr>
              <w:t>5、支持拼接、开窗、叠加、漫游等功能。</w:t>
            </w:r>
          </w:p>
        </w:tc>
        <w:tc>
          <w:tcPr>
            <w:tcW w:w="294" w:type="pct"/>
            <w:shd w:val="clear" w:color="auto" w:fill="auto"/>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590" w:type="pct"/>
          </w:tcPr>
          <w:p>
            <w:pPr>
              <w:jc w:val="left"/>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5000" w:type="pct"/>
            <w:gridSpan w:val="6"/>
            <w:vAlign w:val="center"/>
          </w:tcPr>
          <w:p>
            <w:pPr>
              <w:spacing w:before="100" w:beforeAutospacing="1" w:after="100" w:afterAutospacing="1"/>
              <w:rPr>
                <w:rFonts w:hint="eastAsia" w:ascii="宋体" w:hAnsi="宋体" w:eastAsia="宋体" w:cs="宋体"/>
                <w:b/>
                <w:bCs/>
                <w:color w:val="auto"/>
              </w:rPr>
            </w:pPr>
            <w:r>
              <w:rPr>
                <w:rFonts w:hint="eastAsia" w:ascii="宋体" w:hAnsi="宋体" w:eastAsia="宋体" w:cs="宋体"/>
                <w:b/>
                <w:bCs/>
                <w:color w:val="auto"/>
              </w:rPr>
              <w:t>二、PON全光网络</w:t>
            </w:r>
          </w:p>
          <w:p>
            <w:pPr>
              <w:spacing w:before="100" w:beforeAutospacing="1" w:after="100" w:afterAutospacing="1"/>
              <w:rPr>
                <w:rFonts w:hint="eastAsia" w:ascii="宋体" w:hAnsi="宋体" w:eastAsia="宋体" w:cs="宋体"/>
                <w:color w:val="auto"/>
              </w:rPr>
            </w:pPr>
            <w:r>
              <w:rPr>
                <w:rFonts w:hint="eastAsia" w:ascii="宋体" w:hAnsi="宋体" w:eastAsia="宋体" w:cs="宋体"/>
                <w:color w:val="auto"/>
              </w:rPr>
              <w:t>总体要求：</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1、本项目网络采用PON全光技术路线，EPON全光或GPON全光方案均可，使用以太全光网络方案视为不符合要求；使用光电转换器视为不符合要求。</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t>网络设备提供原厂安装、调试服务，原厂技术支持服务，且生产厂商需获得CMMI 5（软件能力成熟度集成模型）认证、TL9000电信行业质量管理体系认证，投标人必须出具承诺函并加盖公章。</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rPr>
              <w:t>、周界监控摄像机所需网络由学校数据中心机房分光至五个大门后引出。</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rPr>
              <w:t>推荐品牌：华为、H3C、中兴。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1-6</w:t>
            </w:r>
          </w:p>
        </w:tc>
        <w:tc>
          <w:tcPr>
            <w:tcW w:w="463"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方案一：核心交换机（内置OLT板卡）</w:t>
            </w:r>
          </w:p>
        </w:tc>
        <w:tc>
          <w:tcPr>
            <w:tcW w:w="3090" w:type="pct"/>
            <w:vAlign w:val="center"/>
          </w:tcPr>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★1、主控引擎插槽≥2个，业务插槽（不含主控引擎）≥6个</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★2、交换容量≥75Tbps，包转发率≥8600Mpps（以官网最小值为准）</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★3、本次配置双主控、冗余电源，整机配置≥24个千兆电口以太网接口，≥24个万兆电口以太网接口，≥6个万兆以太网光接口，≥12个万兆OLT端口，所有端口满配模块，配置防火墙插卡，非外置硬件设备</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4、支持IPv4/IPv6 RIP、OSPF、IS-IS、BGP、等价路由、策略路由</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5、支持多业务融合板卡，与设备紧耦合无需外部连线</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6、整机最大支持不少于120口的10GE端口</w:t>
            </w:r>
          </w:p>
        </w:tc>
        <w:tc>
          <w:tcPr>
            <w:tcW w:w="294"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w:t>
            </w:r>
          </w:p>
        </w:tc>
        <w:tc>
          <w:tcPr>
            <w:tcW w:w="590" w:type="pct"/>
            <w:vMerge w:val="restart"/>
            <w:vAlign w:val="center"/>
          </w:tcPr>
          <w:p>
            <w:pPr>
              <w:spacing w:before="100" w:beforeAutospacing="1" w:after="100" w:afterAutospacing="1"/>
              <w:jc w:val="left"/>
              <w:rPr>
                <w:rFonts w:hint="eastAsia" w:ascii="宋体" w:hAnsi="宋体" w:eastAsia="宋体" w:cs="宋体"/>
                <w:color w:val="auto"/>
              </w:rPr>
            </w:pPr>
            <w:r>
              <w:rPr>
                <w:rFonts w:hint="eastAsia" w:ascii="宋体" w:hAnsi="宋体" w:eastAsia="宋体" w:cs="宋体"/>
                <w:color w:val="auto"/>
              </w:rPr>
              <w:t>投标人投标时方案一和方案二只能选择其一。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1-7</w:t>
            </w:r>
          </w:p>
        </w:tc>
        <w:tc>
          <w:tcPr>
            <w:tcW w:w="463"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方案二：核心交换机+OLT设备</w:t>
            </w:r>
          </w:p>
        </w:tc>
        <w:tc>
          <w:tcPr>
            <w:tcW w:w="3090" w:type="pct"/>
            <w:vAlign w:val="center"/>
          </w:tcPr>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核心交换机：</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★1、主控引擎插槽≥2个，业务插槽≥6个</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★2、交换容量≥75Tbps，包转发率≥8600Mpps（以官网最小值为准）</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★3、本次配置双主控、冗余电源，整机配置≥24个千兆电口以太网接口，≥24个万兆电口以太网接口，≥6个万兆以太网光接口，所有端口满配模块，配置防火墙插卡，非外置硬件设备</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4、支持IPv4/IPv6 RIP、OSPF、IS-IS、BGP、等价路由、策略路由</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OLT设备：</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★1、主控引擎插槽≥2个，业务插槽≥6个</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★2、本次配置双主控、冗余电源，整机配置≥12个万兆OLT端口，所有端口满配模块</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3、≥4个万兆以太光口</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4、整机最大支持不少于120口的10GE端口</w:t>
            </w:r>
          </w:p>
        </w:tc>
        <w:tc>
          <w:tcPr>
            <w:tcW w:w="294"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w:t>
            </w:r>
          </w:p>
        </w:tc>
        <w:tc>
          <w:tcPr>
            <w:tcW w:w="590" w:type="pct"/>
            <w:vMerge w:val="continue"/>
            <w:vAlign w:val="center"/>
          </w:tcPr>
          <w:p>
            <w:pPr>
              <w:spacing w:before="100" w:beforeAutospacing="1" w:after="100" w:afterAutospacing="1"/>
              <w:jc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1-8</w:t>
            </w:r>
          </w:p>
        </w:tc>
        <w:tc>
          <w:tcPr>
            <w:tcW w:w="463"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分光器</w:t>
            </w:r>
          </w:p>
        </w:tc>
        <w:tc>
          <w:tcPr>
            <w:tcW w:w="309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光分路器-单模-1×8均分-SC/UPC</w:t>
            </w:r>
          </w:p>
        </w:tc>
        <w:tc>
          <w:tcPr>
            <w:tcW w:w="294"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w:t>
            </w:r>
          </w:p>
        </w:tc>
        <w:tc>
          <w:tcPr>
            <w:tcW w:w="590" w:type="pct"/>
            <w:vMerge w:val="restart"/>
            <w:vAlign w:val="center"/>
          </w:tcPr>
          <w:p>
            <w:pPr>
              <w:spacing w:before="100" w:beforeAutospacing="1" w:after="100" w:afterAutospacing="1"/>
              <w:jc w:val="left"/>
              <w:rPr>
                <w:rFonts w:hint="eastAsia" w:ascii="宋体" w:hAnsi="宋体" w:eastAsia="宋体" w:cs="宋体"/>
                <w:color w:val="auto"/>
              </w:rPr>
            </w:pPr>
            <w:r>
              <w:rPr>
                <w:rFonts w:hint="eastAsia" w:ascii="宋体" w:hAnsi="宋体" w:eastAsia="宋体" w:cs="宋体"/>
                <w:color w:val="auto"/>
              </w:rPr>
              <w:t>分光器、8口ONU和4口ONU的数量可根据实际情况调整，端口总数满足摄像机的要求即可。除周界视频监控外，其余ONU按照每4口预留1口的比例预留冗余端口。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1-9</w:t>
            </w:r>
          </w:p>
        </w:tc>
        <w:tc>
          <w:tcPr>
            <w:tcW w:w="463"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8口ONU</w:t>
            </w:r>
          </w:p>
        </w:tc>
        <w:tc>
          <w:tcPr>
            <w:tcW w:w="3090" w:type="pct"/>
            <w:shd w:val="clear" w:color="auto" w:fill="auto"/>
            <w:vAlign w:val="center"/>
          </w:tcPr>
          <w:p>
            <w:pPr>
              <w:pStyle w:val="146"/>
              <w:numPr>
                <w:ilvl w:val="0"/>
                <w:numId w:val="5"/>
              </w:numPr>
              <w:rPr>
                <w:rFonts w:hint="eastAsia" w:ascii="宋体" w:hAnsi="宋体" w:eastAsia="宋体" w:cs="宋体"/>
                <w:color w:val="auto"/>
                <w:sz w:val="21"/>
                <w:lang w:eastAsia="zh-CN"/>
              </w:rPr>
            </w:pPr>
            <w:r>
              <w:rPr>
                <w:rFonts w:hint="eastAsia" w:ascii="宋体" w:hAnsi="宋体" w:eastAsia="宋体" w:cs="宋体"/>
                <w:color w:val="auto"/>
                <w:sz w:val="21"/>
                <w:lang w:eastAsia="zh-CN"/>
              </w:rPr>
              <w:t>★上行千兆PON接口，下行8个千兆电口，POE供电，单端口及整机功率满足摄像头的供电需求；</w:t>
            </w:r>
          </w:p>
          <w:p>
            <w:pPr>
              <w:jc w:val="left"/>
              <w:rPr>
                <w:rFonts w:hint="eastAsia" w:ascii="宋体" w:hAnsi="宋体" w:eastAsia="宋体" w:cs="宋体"/>
                <w:color w:val="auto"/>
              </w:rPr>
            </w:pPr>
            <w:r>
              <w:rPr>
                <w:rFonts w:hint="eastAsia" w:ascii="宋体" w:hAnsi="宋体" w:eastAsia="宋体" w:cs="宋体"/>
                <w:color w:val="auto"/>
              </w:rPr>
              <w:t>2、指示灯包括电源、系统运行状态、PON和以太网电口接口；</w:t>
            </w:r>
          </w:p>
          <w:p>
            <w:pPr>
              <w:jc w:val="left"/>
              <w:rPr>
                <w:rFonts w:hint="eastAsia" w:ascii="宋体" w:hAnsi="宋体" w:eastAsia="宋体" w:cs="宋体"/>
                <w:color w:val="auto"/>
              </w:rPr>
            </w:pPr>
            <w:r>
              <w:rPr>
                <w:rFonts w:hint="eastAsia" w:ascii="宋体" w:hAnsi="宋体" w:eastAsia="宋体" w:cs="宋体"/>
                <w:color w:val="auto"/>
              </w:rPr>
              <w:t>3、支持ONU注册认证机制,认证方式：MAC地址认证，LOID认证，LOID+PASSWORD认证，混合认证等多种认证方式；</w:t>
            </w:r>
          </w:p>
          <w:p>
            <w:pPr>
              <w:jc w:val="left"/>
              <w:rPr>
                <w:rFonts w:hint="eastAsia" w:ascii="宋体" w:hAnsi="宋体" w:eastAsia="宋体" w:cs="宋体"/>
                <w:color w:val="auto"/>
              </w:rPr>
            </w:pPr>
            <w:r>
              <w:rPr>
                <w:rFonts w:hint="eastAsia" w:ascii="宋体" w:hAnsi="宋体" w:eastAsia="宋体" w:cs="宋体"/>
                <w:color w:val="auto"/>
              </w:rPr>
              <w:t>4、支持动态带宽分配，链路加密，支持设置管理VLAN，支持端口环路检测；</w:t>
            </w:r>
          </w:p>
          <w:p>
            <w:pPr>
              <w:jc w:val="left"/>
              <w:rPr>
                <w:rFonts w:hint="eastAsia" w:ascii="宋体" w:hAnsi="宋体" w:eastAsia="宋体" w:cs="宋体"/>
                <w:color w:val="auto"/>
              </w:rPr>
            </w:pPr>
            <w:r>
              <w:rPr>
                <w:rFonts w:hint="eastAsia" w:ascii="宋体" w:hAnsi="宋体" w:eastAsia="宋体" w:cs="宋体"/>
                <w:color w:val="auto"/>
              </w:rPr>
              <w:t>5、支持Web、Telnet 和CLI管理，支持以太网端口的状态管理、限速和隔离 ；</w:t>
            </w:r>
          </w:p>
          <w:p>
            <w:pPr>
              <w:jc w:val="left"/>
              <w:rPr>
                <w:rFonts w:hint="eastAsia" w:ascii="宋体" w:hAnsi="宋体" w:eastAsia="宋体" w:cs="宋体"/>
                <w:color w:val="auto"/>
              </w:rPr>
            </w:pPr>
            <w:r>
              <w:rPr>
                <w:rFonts w:hint="eastAsia" w:ascii="宋体" w:hAnsi="宋体" w:eastAsia="宋体" w:cs="宋体"/>
                <w:color w:val="auto"/>
              </w:rPr>
              <w:t>6、支持远程批量软件升级，支持升级失败自动回退功能</w:t>
            </w:r>
          </w:p>
        </w:tc>
        <w:tc>
          <w:tcPr>
            <w:tcW w:w="294"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台</w:t>
            </w:r>
          </w:p>
        </w:tc>
        <w:tc>
          <w:tcPr>
            <w:tcW w:w="293"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58</w:t>
            </w:r>
          </w:p>
        </w:tc>
        <w:tc>
          <w:tcPr>
            <w:tcW w:w="590" w:type="pct"/>
            <w:vMerge w:val="continue"/>
            <w:vAlign w:val="center"/>
          </w:tcPr>
          <w:p>
            <w:pPr>
              <w:spacing w:before="100" w:beforeAutospacing="1" w:after="100" w:afterAutospacing="1"/>
              <w:jc w:val="left"/>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1-10</w:t>
            </w:r>
          </w:p>
        </w:tc>
        <w:tc>
          <w:tcPr>
            <w:tcW w:w="463"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4口ONU</w:t>
            </w:r>
          </w:p>
        </w:tc>
        <w:tc>
          <w:tcPr>
            <w:tcW w:w="3090" w:type="pct"/>
            <w:shd w:val="clear" w:color="auto" w:fill="auto"/>
            <w:vAlign w:val="center"/>
          </w:tcPr>
          <w:p>
            <w:pPr>
              <w:pStyle w:val="146"/>
              <w:numPr>
                <w:ilvl w:val="0"/>
                <w:numId w:val="6"/>
              </w:numPr>
              <w:rPr>
                <w:rFonts w:hint="eastAsia" w:ascii="宋体" w:hAnsi="宋体" w:eastAsia="宋体" w:cs="宋体"/>
                <w:color w:val="auto"/>
                <w:sz w:val="21"/>
                <w:lang w:eastAsia="zh-CN"/>
              </w:rPr>
            </w:pPr>
            <w:r>
              <w:rPr>
                <w:rFonts w:hint="eastAsia" w:ascii="宋体" w:hAnsi="宋体" w:eastAsia="宋体" w:cs="宋体"/>
                <w:color w:val="auto"/>
                <w:sz w:val="21"/>
                <w:lang w:eastAsia="zh-CN"/>
              </w:rPr>
              <w:t>★上行千兆PON接口，下行4个千兆电口，POE供电，单端口及整机功率满足摄像头的供电需求；</w:t>
            </w:r>
          </w:p>
          <w:p>
            <w:pPr>
              <w:jc w:val="left"/>
              <w:rPr>
                <w:rFonts w:hint="eastAsia" w:ascii="宋体" w:hAnsi="宋体" w:eastAsia="宋体" w:cs="宋体"/>
                <w:color w:val="auto"/>
              </w:rPr>
            </w:pPr>
            <w:r>
              <w:rPr>
                <w:rFonts w:hint="eastAsia" w:ascii="宋体" w:hAnsi="宋体" w:eastAsia="宋体" w:cs="宋体"/>
                <w:color w:val="auto"/>
              </w:rPr>
              <w:t>2、指示灯包括电源、系统运行状态、PON和以太网电口接口；</w:t>
            </w:r>
          </w:p>
          <w:p>
            <w:pPr>
              <w:jc w:val="left"/>
              <w:rPr>
                <w:rFonts w:hint="eastAsia" w:ascii="宋体" w:hAnsi="宋体" w:eastAsia="宋体" w:cs="宋体"/>
                <w:color w:val="auto"/>
              </w:rPr>
            </w:pPr>
            <w:r>
              <w:rPr>
                <w:rFonts w:hint="eastAsia" w:ascii="宋体" w:hAnsi="宋体" w:eastAsia="宋体" w:cs="宋体"/>
                <w:color w:val="auto"/>
              </w:rPr>
              <w:t>3、支持ONU注册认证机制,认证方式：MAC地址认证，LOID认证，LOID+PASSWORD认证，混合认证等多种认证方式；</w:t>
            </w:r>
          </w:p>
          <w:p>
            <w:pPr>
              <w:jc w:val="left"/>
              <w:rPr>
                <w:rFonts w:hint="eastAsia" w:ascii="宋体" w:hAnsi="宋体" w:eastAsia="宋体" w:cs="宋体"/>
                <w:color w:val="auto"/>
              </w:rPr>
            </w:pPr>
            <w:r>
              <w:rPr>
                <w:rFonts w:hint="eastAsia" w:ascii="宋体" w:hAnsi="宋体" w:eastAsia="宋体" w:cs="宋体"/>
                <w:color w:val="auto"/>
              </w:rPr>
              <w:t>4、支持动态带宽分配，链路加密，支持设置管理VLAN，支持端口环路检测；</w:t>
            </w:r>
          </w:p>
          <w:p>
            <w:pPr>
              <w:jc w:val="left"/>
              <w:rPr>
                <w:rFonts w:hint="eastAsia" w:ascii="宋体" w:hAnsi="宋体" w:eastAsia="宋体" w:cs="宋体"/>
                <w:color w:val="auto"/>
              </w:rPr>
            </w:pPr>
            <w:r>
              <w:rPr>
                <w:rFonts w:hint="eastAsia" w:ascii="宋体" w:hAnsi="宋体" w:eastAsia="宋体" w:cs="宋体"/>
                <w:color w:val="auto"/>
              </w:rPr>
              <w:t>5、支持Web、Telnet 和CLI管理，支持以太网端口的状态管理、限速和隔离 ；</w:t>
            </w:r>
          </w:p>
          <w:p>
            <w:pPr>
              <w:jc w:val="left"/>
              <w:rPr>
                <w:rFonts w:hint="eastAsia" w:ascii="宋体" w:hAnsi="宋体" w:eastAsia="宋体" w:cs="宋体"/>
                <w:color w:val="auto"/>
              </w:rPr>
            </w:pPr>
            <w:r>
              <w:rPr>
                <w:rFonts w:hint="eastAsia" w:ascii="宋体" w:hAnsi="宋体" w:eastAsia="宋体" w:cs="宋体"/>
                <w:color w:val="auto"/>
              </w:rPr>
              <w:t>6、支持远程批量软件升级，支持升级失败自动回退功能</w:t>
            </w:r>
          </w:p>
        </w:tc>
        <w:tc>
          <w:tcPr>
            <w:tcW w:w="294"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台</w:t>
            </w:r>
          </w:p>
        </w:tc>
        <w:tc>
          <w:tcPr>
            <w:tcW w:w="293"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16</w:t>
            </w:r>
          </w:p>
        </w:tc>
        <w:tc>
          <w:tcPr>
            <w:tcW w:w="590" w:type="pct"/>
            <w:vMerge w:val="continue"/>
          </w:tcPr>
          <w:p>
            <w:pPr>
              <w:spacing w:before="100" w:beforeAutospacing="1" w:after="100" w:afterAutospacing="1"/>
              <w:jc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1-11</w:t>
            </w:r>
          </w:p>
        </w:tc>
        <w:tc>
          <w:tcPr>
            <w:tcW w:w="463" w:type="pct"/>
            <w:shd w:val="clear" w:color="000000" w:fill="FFFFFF"/>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光纤</w:t>
            </w:r>
          </w:p>
        </w:tc>
        <w:tc>
          <w:tcPr>
            <w:tcW w:w="3090" w:type="pct"/>
            <w:shd w:val="clear" w:color="auto" w:fill="auto"/>
            <w:vAlign w:val="center"/>
          </w:tcPr>
          <w:p>
            <w:pPr>
              <w:spacing w:before="100" w:beforeAutospacing="1" w:after="100" w:afterAutospacing="1"/>
              <w:jc w:val="left"/>
              <w:rPr>
                <w:rFonts w:hint="eastAsia" w:ascii="宋体" w:hAnsi="宋体" w:eastAsia="宋体" w:cs="宋体"/>
                <w:color w:val="auto"/>
              </w:rPr>
            </w:pPr>
          </w:p>
        </w:tc>
        <w:tc>
          <w:tcPr>
            <w:tcW w:w="294"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米</w:t>
            </w:r>
          </w:p>
        </w:tc>
        <w:tc>
          <w:tcPr>
            <w:tcW w:w="883" w:type="pct"/>
            <w:gridSpan w:val="2"/>
            <w:vMerge w:val="restart"/>
            <w:shd w:val="clear" w:color="auto" w:fill="auto"/>
            <w:vAlign w:val="center"/>
          </w:tcPr>
          <w:p>
            <w:pPr>
              <w:spacing w:before="100" w:beforeAutospacing="1" w:after="100" w:afterAutospacing="1"/>
              <w:rPr>
                <w:rFonts w:hint="eastAsia" w:ascii="宋体" w:hAnsi="宋体" w:eastAsia="宋体" w:cs="宋体"/>
                <w:color w:val="auto"/>
              </w:rPr>
            </w:pPr>
            <w:r>
              <w:rPr>
                <w:rFonts w:hint="eastAsia" w:ascii="宋体" w:hAnsi="宋体" w:eastAsia="宋体" w:cs="宋体"/>
                <w:color w:val="auto"/>
              </w:rPr>
              <w:t>具体数量及规格以现场勘查为准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1-12</w:t>
            </w:r>
          </w:p>
        </w:tc>
        <w:tc>
          <w:tcPr>
            <w:tcW w:w="463" w:type="pct"/>
            <w:shd w:val="clear" w:color="000000" w:fill="FFFFFF"/>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网线</w:t>
            </w:r>
          </w:p>
        </w:tc>
        <w:tc>
          <w:tcPr>
            <w:tcW w:w="3090" w:type="pct"/>
            <w:shd w:val="clear" w:color="auto" w:fill="auto"/>
            <w:vAlign w:val="center"/>
          </w:tcPr>
          <w:p>
            <w:pPr>
              <w:spacing w:before="100" w:beforeAutospacing="1" w:after="100" w:afterAutospacing="1"/>
              <w:jc w:val="left"/>
              <w:rPr>
                <w:rFonts w:hint="eastAsia" w:ascii="宋体" w:hAnsi="宋体" w:eastAsia="宋体" w:cs="宋体"/>
                <w:color w:val="auto"/>
              </w:rPr>
            </w:pPr>
            <w:r>
              <w:rPr>
                <w:rFonts w:hint="eastAsia" w:ascii="宋体" w:hAnsi="宋体" w:eastAsia="宋体" w:cs="宋体"/>
                <w:color w:val="auto"/>
              </w:rPr>
              <w:t>六类，室内和室外网线</w:t>
            </w:r>
          </w:p>
        </w:tc>
        <w:tc>
          <w:tcPr>
            <w:tcW w:w="294"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米</w:t>
            </w:r>
          </w:p>
        </w:tc>
        <w:tc>
          <w:tcPr>
            <w:tcW w:w="883" w:type="pct"/>
            <w:gridSpan w:val="2"/>
            <w:vMerge w:val="continue"/>
            <w:shd w:val="clear" w:color="auto" w:fill="auto"/>
            <w:vAlign w:val="center"/>
          </w:tcPr>
          <w:p>
            <w:pPr>
              <w:spacing w:before="100" w:beforeAutospacing="1" w:after="100" w:afterAutospacing="1"/>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1-13</w:t>
            </w:r>
          </w:p>
        </w:tc>
        <w:tc>
          <w:tcPr>
            <w:tcW w:w="463" w:type="pct"/>
            <w:shd w:val="clear" w:color="000000" w:fill="FFFFFF"/>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电源线</w:t>
            </w:r>
          </w:p>
        </w:tc>
        <w:tc>
          <w:tcPr>
            <w:tcW w:w="3090" w:type="pct"/>
            <w:shd w:val="clear" w:color="auto" w:fill="auto"/>
            <w:vAlign w:val="center"/>
          </w:tcPr>
          <w:p>
            <w:pPr>
              <w:spacing w:before="100" w:beforeAutospacing="1" w:after="100" w:afterAutospacing="1"/>
              <w:jc w:val="left"/>
              <w:rPr>
                <w:rFonts w:hint="eastAsia" w:ascii="宋体" w:hAnsi="宋体" w:eastAsia="宋体" w:cs="宋体"/>
                <w:color w:val="auto"/>
              </w:rPr>
            </w:pPr>
          </w:p>
        </w:tc>
        <w:tc>
          <w:tcPr>
            <w:tcW w:w="294"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米</w:t>
            </w:r>
          </w:p>
        </w:tc>
        <w:tc>
          <w:tcPr>
            <w:tcW w:w="883" w:type="pct"/>
            <w:gridSpan w:val="2"/>
            <w:vMerge w:val="continue"/>
            <w:shd w:val="clear" w:color="auto" w:fill="auto"/>
            <w:vAlign w:val="center"/>
          </w:tcPr>
          <w:p>
            <w:pPr>
              <w:spacing w:before="100" w:beforeAutospacing="1" w:after="100" w:afterAutospacing="1"/>
              <w:jc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1-14</w:t>
            </w:r>
          </w:p>
        </w:tc>
        <w:tc>
          <w:tcPr>
            <w:tcW w:w="463" w:type="pct"/>
            <w:shd w:val="clear" w:color="000000" w:fill="FFFFFF"/>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安防箱</w:t>
            </w:r>
          </w:p>
        </w:tc>
        <w:tc>
          <w:tcPr>
            <w:tcW w:w="3090" w:type="pct"/>
            <w:shd w:val="clear" w:color="auto" w:fill="auto"/>
            <w:vAlign w:val="center"/>
          </w:tcPr>
          <w:p>
            <w:pPr>
              <w:spacing w:before="100" w:beforeAutospacing="1" w:after="100" w:afterAutospacing="1"/>
              <w:jc w:val="left"/>
              <w:rPr>
                <w:rFonts w:hint="eastAsia" w:ascii="宋体" w:hAnsi="宋体" w:eastAsia="宋体" w:cs="宋体"/>
                <w:color w:val="auto"/>
              </w:rPr>
            </w:pPr>
            <w:r>
              <w:rPr>
                <w:rFonts w:hint="eastAsia" w:ascii="宋体" w:hAnsi="宋体" w:eastAsia="宋体" w:cs="宋体"/>
                <w:color w:val="auto"/>
              </w:rPr>
              <w:t>定制，室内及室外安防箱</w:t>
            </w:r>
          </w:p>
        </w:tc>
        <w:tc>
          <w:tcPr>
            <w:tcW w:w="294"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个</w:t>
            </w:r>
          </w:p>
        </w:tc>
        <w:tc>
          <w:tcPr>
            <w:tcW w:w="883" w:type="pct"/>
            <w:gridSpan w:val="2"/>
            <w:vMerge w:val="continue"/>
            <w:shd w:val="clear" w:color="auto" w:fill="auto"/>
            <w:vAlign w:val="center"/>
          </w:tcPr>
          <w:p>
            <w:pPr>
              <w:spacing w:before="100" w:beforeAutospacing="1" w:after="100" w:afterAutospacing="1"/>
              <w:jc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1-15</w:t>
            </w:r>
          </w:p>
        </w:tc>
        <w:tc>
          <w:tcPr>
            <w:tcW w:w="463" w:type="pct"/>
            <w:shd w:val="clear" w:color="000000" w:fill="FFFFFF"/>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辅材</w:t>
            </w:r>
          </w:p>
        </w:tc>
        <w:tc>
          <w:tcPr>
            <w:tcW w:w="3090" w:type="pct"/>
            <w:shd w:val="clear" w:color="auto" w:fill="auto"/>
            <w:vAlign w:val="center"/>
          </w:tcPr>
          <w:p>
            <w:pPr>
              <w:spacing w:before="100" w:beforeAutospacing="1" w:after="100" w:afterAutospacing="1"/>
              <w:jc w:val="left"/>
              <w:rPr>
                <w:rFonts w:hint="eastAsia" w:ascii="宋体" w:hAnsi="宋体" w:eastAsia="宋体" w:cs="宋体"/>
                <w:color w:val="auto"/>
              </w:rPr>
            </w:pPr>
            <w:r>
              <w:rPr>
                <w:rFonts w:hint="eastAsia" w:ascii="宋体" w:hAnsi="宋体" w:eastAsia="宋体" w:cs="宋体"/>
                <w:color w:val="auto"/>
              </w:rPr>
              <w:t>管路、接插件、扎带等</w:t>
            </w:r>
          </w:p>
        </w:tc>
        <w:tc>
          <w:tcPr>
            <w:tcW w:w="294" w:type="pct"/>
            <w:shd w:val="clear" w:color="auto" w:fill="auto"/>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批</w:t>
            </w:r>
          </w:p>
        </w:tc>
        <w:tc>
          <w:tcPr>
            <w:tcW w:w="883" w:type="pct"/>
            <w:gridSpan w:val="2"/>
            <w:vMerge w:val="continue"/>
            <w:shd w:val="clear" w:color="auto" w:fill="auto"/>
            <w:vAlign w:val="center"/>
          </w:tcPr>
          <w:p>
            <w:pPr>
              <w:spacing w:before="100" w:beforeAutospacing="1" w:after="100" w:afterAutospacing="1"/>
              <w:jc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9" w:hRule="atLeast"/>
        </w:trPr>
        <w:tc>
          <w:tcPr>
            <w:tcW w:w="5000" w:type="pct"/>
            <w:gridSpan w:val="6"/>
            <w:vAlign w:val="center"/>
          </w:tcPr>
          <w:p>
            <w:pPr>
              <w:spacing w:before="100" w:beforeAutospacing="1" w:after="100" w:afterAutospacing="1"/>
              <w:rPr>
                <w:rFonts w:hint="eastAsia" w:ascii="宋体" w:hAnsi="宋体" w:eastAsia="宋体" w:cs="宋体"/>
                <w:b/>
                <w:bCs/>
                <w:color w:val="auto"/>
              </w:rPr>
            </w:pPr>
            <w:r>
              <w:rPr>
                <w:rFonts w:hint="eastAsia" w:ascii="宋体" w:hAnsi="宋体" w:eastAsia="宋体" w:cs="宋体"/>
                <w:b/>
                <w:bCs/>
                <w:color w:val="auto"/>
              </w:rPr>
              <w:t>三、周界视频监控</w:t>
            </w:r>
          </w:p>
          <w:p>
            <w:pPr>
              <w:spacing w:before="100" w:beforeAutospacing="1" w:after="100" w:afterAutospacing="1"/>
              <w:rPr>
                <w:rFonts w:hint="eastAsia" w:ascii="宋体" w:hAnsi="宋体" w:eastAsia="宋体" w:cs="宋体"/>
                <w:color w:val="auto"/>
              </w:rPr>
            </w:pPr>
            <w:r>
              <w:rPr>
                <w:rFonts w:hint="eastAsia" w:ascii="宋体" w:hAnsi="宋体" w:eastAsia="宋体" w:cs="宋体"/>
                <w:color w:val="auto"/>
              </w:rPr>
              <w:t>总体要求：</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1、所有监控摄像机按顺时针或逆时针同一方向沿学校周界布置，形成无死角环形周界监控。</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2、摄像机具有声光报警功能，通过警报、语音提示、灯光闪烁提示进入设定区域的人员。</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3、学校每个大门值班室设置一台监视器，显示附近周界摄像机监视图像，方便安保人员快速响应。</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4、、推荐品牌：海康威视、大华、宇视、紫光华智。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1-16</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周界摄像机</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1、≥400万像素筒型网络摄像机</w:t>
            </w:r>
          </w:p>
          <w:p>
            <w:pPr>
              <w:rPr>
                <w:rFonts w:hint="eastAsia" w:ascii="宋体" w:hAnsi="宋体" w:eastAsia="宋体" w:cs="宋体"/>
                <w:color w:val="auto"/>
              </w:rPr>
            </w:pPr>
            <w:r>
              <w:rPr>
                <w:rFonts w:hint="eastAsia" w:ascii="宋体" w:hAnsi="宋体" w:eastAsia="宋体" w:cs="宋体"/>
                <w:color w:val="auto"/>
              </w:rPr>
              <w:t>2、内置Mic，内置扬声器，支持红白蓝三光联动报警,当报警产生时,可触发联动设备自带的声音警报和白光闪烁告警</w:t>
            </w:r>
          </w:p>
          <w:p>
            <w:pPr>
              <w:rPr>
                <w:rFonts w:hint="eastAsia" w:ascii="宋体" w:hAnsi="宋体" w:eastAsia="宋体" w:cs="宋体"/>
                <w:color w:val="auto"/>
              </w:rPr>
            </w:pPr>
            <w:r>
              <w:rPr>
                <w:rFonts w:hint="eastAsia" w:ascii="宋体" w:hAnsi="宋体" w:eastAsia="宋体" w:cs="宋体"/>
                <w:color w:val="auto"/>
              </w:rPr>
              <w:t>3、内置GPU芯片</w:t>
            </w:r>
          </w:p>
          <w:p>
            <w:pPr>
              <w:rPr>
                <w:rFonts w:hint="eastAsia" w:ascii="宋体" w:hAnsi="宋体" w:eastAsia="宋体" w:cs="宋体"/>
                <w:color w:val="auto"/>
              </w:rPr>
            </w:pPr>
            <w:r>
              <w:rPr>
                <w:rFonts w:hint="eastAsia" w:ascii="宋体" w:hAnsi="宋体" w:eastAsia="宋体" w:cs="宋体"/>
                <w:color w:val="auto"/>
              </w:rPr>
              <w:t>★4、最低照度：彩色≤0.005lx，黑白≤0.001lx，照度适应范围≥135dB</w:t>
            </w:r>
          </w:p>
          <w:p>
            <w:pPr>
              <w:rPr>
                <w:rFonts w:hint="eastAsia" w:ascii="宋体" w:hAnsi="宋体" w:eastAsia="宋体" w:cs="宋体"/>
                <w:color w:val="auto"/>
              </w:rPr>
            </w:pPr>
            <w:r>
              <w:rPr>
                <w:rFonts w:hint="eastAsia" w:ascii="宋体" w:hAnsi="宋体" w:eastAsia="宋体" w:cs="宋体"/>
                <w:color w:val="auto"/>
              </w:rPr>
              <w:t>5、支持五码流视频分辨率、帧率与码率设置：在浏览器下，支持五码流分辨率设置</w:t>
            </w:r>
          </w:p>
          <w:p>
            <w:pPr>
              <w:rPr>
                <w:rFonts w:hint="eastAsia" w:ascii="宋体" w:hAnsi="宋体" w:eastAsia="宋体" w:cs="宋体"/>
                <w:color w:val="auto"/>
              </w:rPr>
            </w:pPr>
            <w:r>
              <w:rPr>
                <w:rFonts w:hint="eastAsia" w:ascii="宋体" w:hAnsi="宋体" w:eastAsia="宋体" w:cs="宋体"/>
                <w:color w:val="auto"/>
              </w:rPr>
              <w:t>6、走廊模式：开启走廊模式之后，监控画面旋转角度监控画面旋转角度≥90°并自动调整宽高比</w:t>
            </w:r>
          </w:p>
          <w:p>
            <w:pPr>
              <w:rPr>
                <w:rFonts w:hint="eastAsia" w:ascii="宋体" w:hAnsi="宋体" w:eastAsia="宋体" w:cs="宋体"/>
                <w:color w:val="auto"/>
              </w:rPr>
            </w:pPr>
            <w:r>
              <w:rPr>
                <w:rFonts w:hint="eastAsia" w:ascii="宋体" w:hAnsi="宋体" w:eastAsia="宋体" w:cs="宋体"/>
                <w:color w:val="auto"/>
              </w:rPr>
              <w:t>7、具备智能报警防干扰和智能分析抗干扰功能，只有经过人形物体时才会触发报警，猫狗等小动物和树木摇晃等不触发报警。</w:t>
            </w:r>
          </w:p>
          <w:p>
            <w:pPr>
              <w:rPr>
                <w:rFonts w:hint="eastAsia" w:ascii="宋体" w:hAnsi="宋体" w:eastAsia="宋体" w:cs="宋体"/>
                <w:color w:val="auto"/>
              </w:rPr>
            </w:pPr>
            <w:r>
              <w:rPr>
                <w:rFonts w:hint="eastAsia" w:ascii="宋体" w:hAnsi="宋体" w:eastAsia="宋体" w:cs="宋体"/>
                <w:color w:val="auto"/>
              </w:rPr>
              <w:t>8、支持监控区域和非监控区域的划分</w:t>
            </w:r>
          </w:p>
          <w:p>
            <w:pPr>
              <w:rPr>
                <w:rFonts w:hint="eastAsia" w:ascii="宋体" w:hAnsi="宋体" w:eastAsia="宋体" w:cs="宋体"/>
                <w:color w:val="auto"/>
              </w:rPr>
            </w:pPr>
            <w:r>
              <w:rPr>
                <w:rFonts w:hint="eastAsia" w:ascii="宋体" w:hAnsi="宋体" w:eastAsia="宋体" w:cs="宋体"/>
                <w:color w:val="auto"/>
              </w:rPr>
              <w:t>9、防护等级不低于IP67</w:t>
            </w:r>
          </w:p>
          <w:p>
            <w:pPr>
              <w:rPr>
                <w:rFonts w:hint="eastAsia" w:ascii="宋体" w:hAnsi="宋体" w:eastAsia="宋体" w:cs="宋体"/>
                <w:color w:val="auto"/>
              </w:rPr>
            </w:pPr>
            <w:r>
              <w:rPr>
                <w:rFonts w:hint="eastAsia" w:ascii="宋体" w:hAnsi="宋体" w:eastAsia="宋体" w:cs="宋体"/>
                <w:color w:val="auto"/>
              </w:rPr>
              <w:t>10、支持H.264、H.265、MJPEG视频编码格式</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11、标配PoE供电</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只</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80</w:t>
            </w:r>
          </w:p>
        </w:tc>
        <w:tc>
          <w:tcPr>
            <w:tcW w:w="590" w:type="pct"/>
          </w:tcPr>
          <w:p>
            <w:pPr>
              <w:jc w:val="center"/>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1-17</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安装支架</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定制，国产优质，表面防锈处理，摄像机安装位置高于围墙一米（以摄像机位置附近围墙最高点为起点）。</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只</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80</w:t>
            </w:r>
          </w:p>
        </w:tc>
        <w:tc>
          <w:tcPr>
            <w:tcW w:w="590" w:type="pct"/>
          </w:tcPr>
          <w:p>
            <w:pPr>
              <w:jc w:val="center"/>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1-18</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室外亮化灯带</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1、led 360度通体发光霓虹光带</w:t>
            </w:r>
          </w:p>
          <w:p>
            <w:pPr>
              <w:rPr>
                <w:rFonts w:hint="eastAsia" w:ascii="宋体" w:hAnsi="宋体" w:eastAsia="宋体" w:cs="宋体"/>
                <w:color w:val="auto"/>
              </w:rPr>
            </w:pPr>
            <w:r>
              <w:rPr>
                <w:rFonts w:hint="eastAsia" w:ascii="宋体" w:hAnsi="宋体" w:eastAsia="宋体" w:cs="宋体"/>
                <w:color w:val="auto"/>
              </w:rPr>
              <w:t>2、220v户外防水</w:t>
            </w:r>
          </w:p>
          <w:p>
            <w:pPr>
              <w:rPr>
                <w:rFonts w:hint="eastAsia" w:ascii="宋体" w:hAnsi="宋体" w:eastAsia="宋体" w:cs="宋体"/>
                <w:color w:val="auto"/>
              </w:rPr>
            </w:pPr>
            <w:r>
              <w:rPr>
                <w:rFonts w:hint="eastAsia" w:ascii="宋体" w:hAnsi="宋体" w:eastAsia="宋体" w:cs="宋体"/>
                <w:color w:val="auto"/>
              </w:rPr>
              <w:t>3、超亮柔性软光带圆形线条灯</w:t>
            </w:r>
          </w:p>
          <w:p>
            <w:pPr>
              <w:rPr>
                <w:rFonts w:hint="eastAsia" w:ascii="宋体" w:hAnsi="宋体" w:eastAsia="宋体" w:cs="宋体"/>
                <w:color w:val="auto"/>
              </w:rPr>
            </w:pPr>
            <w:r>
              <w:rPr>
                <w:rFonts w:hint="eastAsia" w:ascii="宋体" w:hAnsi="宋体" w:eastAsia="宋体" w:cs="宋体"/>
                <w:color w:val="auto"/>
              </w:rPr>
              <w:t>4、4000K中性光</w:t>
            </w:r>
          </w:p>
          <w:p>
            <w:pPr>
              <w:rPr>
                <w:rFonts w:hint="eastAsia" w:ascii="宋体" w:hAnsi="宋体" w:eastAsia="宋体" w:cs="宋体"/>
                <w:color w:val="auto"/>
              </w:rPr>
            </w:pPr>
            <w:r>
              <w:rPr>
                <w:rFonts w:hint="eastAsia" w:ascii="宋体" w:hAnsi="宋体" w:eastAsia="宋体" w:cs="宋体"/>
                <w:color w:val="auto"/>
              </w:rPr>
              <w:t>5、7瓦/米</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6、围学校围墙上部一周，含相应支架和辅材</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项</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590" w:type="pct"/>
          </w:tcPr>
          <w:p>
            <w:pPr>
              <w:jc w:val="center"/>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1-19</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监视器</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1、55寸液晶LED背光监视显示单元，支持多块拼接；</w:t>
            </w:r>
          </w:p>
          <w:p>
            <w:pPr>
              <w:rPr>
                <w:rFonts w:hint="eastAsia" w:ascii="宋体" w:hAnsi="宋体" w:eastAsia="宋体" w:cs="宋体"/>
                <w:color w:val="auto"/>
              </w:rPr>
            </w:pPr>
            <w:r>
              <w:rPr>
                <w:rFonts w:hint="eastAsia" w:ascii="宋体" w:hAnsi="宋体" w:eastAsia="宋体" w:cs="宋体"/>
                <w:color w:val="auto"/>
              </w:rPr>
              <w:t>2、像素间距（mm）：0.630(H)*0.630(V)；</w:t>
            </w:r>
          </w:p>
          <w:p>
            <w:pPr>
              <w:rPr>
                <w:rFonts w:hint="eastAsia" w:ascii="宋体" w:hAnsi="宋体" w:eastAsia="宋体" w:cs="宋体"/>
                <w:color w:val="auto"/>
              </w:rPr>
            </w:pPr>
            <w:r>
              <w:rPr>
                <w:rFonts w:hint="eastAsia" w:ascii="宋体" w:hAnsi="宋体" w:eastAsia="宋体" w:cs="宋体"/>
                <w:color w:val="auto"/>
              </w:rPr>
              <w:t>3、分辨率：1920*1080；亮度（cd/m2）：500；对比度：1200:1；响时间：≤8ms；</w:t>
            </w:r>
          </w:p>
          <w:p>
            <w:pPr>
              <w:rPr>
                <w:rFonts w:hint="eastAsia" w:ascii="宋体" w:hAnsi="宋体" w:eastAsia="宋体" w:cs="宋体"/>
                <w:color w:val="auto"/>
              </w:rPr>
            </w:pPr>
            <w:r>
              <w:rPr>
                <w:rFonts w:hint="eastAsia" w:ascii="宋体" w:hAnsi="宋体" w:eastAsia="宋体" w:cs="宋体"/>
                <w:color w:val="auto"/>
              </w:rPr>
              <w:t>4、3.5mm拼缝，含底座</w:t>
            </w:r>
          </w:p>
          <w:p>
            <w:pPr>
              <w:rPr>
                <w:rFonts w:hint="eastAsia" w:ascii="宋体" w:hAnsi="宋体" w:eastAsia="宋体" w:cs="宋体"/>
                <w:color w:val="auto"/>
              </w:rPr>
            </w:pPr>
            <w:r>
              <w:rPr>
                <w:rFonts w:hint="eastAsia" w:ascii="宋体" w:hAnsi="宋体" w:eastAsia="宋体" w:cs="宋体"/>
                <w:color w:val="auto"/>
              </w:rPr>
              <w:t>5、超高亮度、超高对比度、超耐用性</w:t>
            </w:r>
          </w:p>
          <w:p>
            <w:pPr>
              <w:rPr>
                <w:rFonts w:hint="eastAsia" w:ascii="宋体" w:hAnsi="宋体" w:eastAsia="宋体" w:cs="宋体"/>
                <w:color w:val="auto"/>
              </w:rPr>
            </w:pPr>
            <w:r>
              <w:rPr>
                <w:rFonts w:hint="eastAsia" w:ascii="宋体" w:hAnsi="宋体" w:eastAsia="宋体" w:cs="宋体"/>
                <w:color w:val="auto"/>
              </w:rPr>
              <w:t>6、整体结构需具备完整外壳，减少电线裸露，整体美观大方</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5</w:t>
            </w:r>
          </w:p>
        </w:tc>
        <w:tc>
          <w:tcPr>
            <w:tcW w:w="590" w:type="pct"/>
            <w:vMerge w:val="restart"/>
            <w:vAlign w:val="center"/>
          </w:tcPr>
          <w:p>
            <w:pPr>
              <w:jc w:val="left"/>
              <w:textAlignment w:val="center"/>
              <w:rPr>
                <w:rFonts w:hint="eastAsia" w:ascii="宋体" w:hAnsi="宋体" w:eastAsia="宋体" w:cs="宋体"/>
                <w:color w:val="auto"/>
              </w:rPr>
            </w:pPr>
            <w:r>
              <w:rPr>
                <w:rFonts w:hint="eastAsia" w:ascii="宋体" w:hAnsi="宋体" w:eastAsia="宋体" w:cs="宋体"/>
                <w:color w:val="auto"/>
              </w:rPr>
              <w:t>可以使用一体化产品，同时具备监视器和解码器所有功能。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1-20</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解码器</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1、支持H.264/265/MJPEG解码格式；</w:t>
            </w:r>
          </w:p>
          <w:p>
            <w:pPr>
              <w:rPr>
                <w:rFonts w:hint="eastAsia" w:ascii="宋体" w:hAnsi="宋体" w:eastAsia="宋体" w:cs="宋体"/>
                <w:color w:val="auto"/>
              </w:rPr>
            </w:pPr>
            <w:r>
              <w:rPr>
                <w:rFonts w:hint="eastAsia" w:ascii="宋体" w:hAnsi="宋体" w:eastAsia="宋体" w:cs="宋体"/>
                <w:color w:val="auto"/>
              </w:rPr>
              <w:t>2、解码能力：40路1920*1080@30fps实时视频解码；</w:t>
            </w:r>
          </w:p>
          <w:p>
            <w:pPr>
              <w:rPr>
                <w:rFonts w:hint="eastAsia" w:ascii="宋体" w:hAnsi="宋体" w:eastAsia="宋体" w:cs="宋体"/>
                <w:color w:val="auto"/>
              </w:rPr>
            </w:pPr>
            <w:r>
              <w:rPr>
                <w:rFonts w:hint="eastAsia" w:ascii="宋体" w:hAnsi="宋体" w:eastAsia="宋体" w:cs="宋体"/>
                <w:color w:val="auto"/>
              </w:rPr>
              <w:t xml:space="preserve">3、输入通道：1路HDMI视频输入接口；输出通道：5路HDMI视频输出接口； </w:t>
            </w:r>
          </w:p>
          <w:p>
            <w:pPr>
              <w:rPr>
                <w:rFonts w:hint="eastAsia" w:ascii="宋体" w:hAnsi="宋体" w:eastAsia="宋体" w:cs="宋体"/>
                <w:color w:val="auto"/>
              </w:rPr>
            </w:pPr>
            <w:r>
              <w:rPr>
                <w:rFonts w:hint="eastAsia" w:ascii="宋体" w:hAnsi="宋体" w:eastAsia="宋体" w:cs="宋体"/>
                <w:color w:val="auto"/>
              </w:rPr>
              <w:t>4、千兆网口；</w:t>
            </w:r>
          </w:p>
          <w:p>
            <w:pPr>
              <w:rPr>
                <w:rFonts w:hint="eastAsia" w:ascii="宋体" w:hAnsi="宋体" w:eastAsia="宋体" w:cs="宋体"/>
                <w:color w:val="auto"/>
              </w:rPr>
            </w:pPr>
            <w:r>
              <w:rPr>
                <w:rFonts w:hint="eastAsia" w:ascii="宋体" w:hAnsi="宋体" w:eastAsia="宋体" w:cs="宋体"/>
                <w:color w:val="auto"/>
              </w:rPr>
              <w:t>5、支持拼接、开窗、叠加等功能。</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5</w:t>
            </w:r>
          </w:p>
        </w:tc>
        <w:tc>
          <w:tcPr>
            <w:tcW w:w="590" w:type="pct"/>
            <w:vMerge w:val="continue"/>
          </w:tcPr>
          <w:p>
            <w:pPr>
              <w:jc w:val="center"/>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5000" w:type="pct"/>
            <w:gridSpan w:val="6"/>
            <w:vAlign w:val="center"/>
          </w:tcPr>
          <w:p>
            <w:pPr>
              <w:spacing w:before="100" w:beforeAutospacing="1" w:after="100" w:afterAutospacing="1"/>
              <w:rPr>
                <w:rFonts w:hint="eastAsia" w:ascii="宋体" w:hAnsi="宋体" w:eastAsia="宋体" w:cs="宋体"/>
                <w:b/>
                <w:bCs/>
                <w:color w:val="auto"/>
              </w:rPr>
            </w:pPr>
            <w:r>
              <w:rPr>
                <w:rFonts w:hint="eastAsia" w:ascii="宋体" w:hAnsi="宋体" w:eastAsia="宋体" w:cs="宋体"/>
                <w:b/>
                <w:bCs/>
                <w:color w:val="auto"/>
              </w:rPr>
              <w:t>四、食堂视频监控</w:t>
            </w:r>
          </w:p>
          <w:p>
            <w:pPr>
              <w:spacing w:before="100" w:beforeAutospacing="1" w:after="100" w:afterAutospacing="1"/>
              <w:rPr>
                <w:rFonts w:hint="eastAsia" w:ascii="宋体" w:hAnsi="宋体" w:eastAsia="宋体" w:cs="宋体"/>
                <w:color w:val="auto"/>
              </w:rPr>
            </w:pPr>
            <w:r>
              <w:rPr>
                <w:rFonts w:hint="eastAsia" w:ascii="宋体" w:hAnsi="宋体" w:eastAsia="宋体" w:cs="宋体"/>
                <w:color w:val="auto"/>
              </w:rPr>
              <w:t>总体要求：</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1、食堂售饭区和厨房操作间使用透雾防油污厨房专用摄像机，适应厨房高温高湿环境。</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2、食堂就餐区使用室内半球或筒型监控摄像机。</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3、每个食堂入口内设置一台监视器，实时显示食堂售饭区和厨房操作间图像，达到明厨亮灶的要求。</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4、按要求与政府监管部门对接。</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5、、推荐品牌：海康威视、大华、宇视、紫光华智。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1-21</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透雾防油污厨房专用摄像机</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1、具有≥400万像素 CMOS传感器</w:t>
            </w:r>
          </w:p>
          <w:p>
            <w:pPr>
              <w:rPr>
                <w:rFonts w:hint="eastAsia" w:ascii="宋体" w:hAnsi="宋体" w:eastAsia="宋体" w:cs="宋体"/>
                <w:color w:val="auto"/>
              </w:rPr>
            </w:pPr>
            <w:r>
              <w:rPr>
                <w:rFonts w:hint="eastAsia" w:ascii="宋体" w:hAnsi="宋体" w:eastAsia="宋体" w:cs="宋体"/>
                <w:color w:val="auto"/>
              </w:rPr>
              <w:t>2、2颗LED点阵红外灯，50m有效红外距离</w:t>
            </w:r>
          </w:p>
          <w:p>
            <w:pPr>
              <w:rPr>
                <w:rFonts w:hint="eastAsia" w:ascii="宋体" w:hAnsi="宋体" w:eastAsia="宋体" w:cs="宋体"/>
                <w:color w:val="auto"/>
              </w:rPr>
            </w:pPr>
            <w:r>
              <w:rPr>
                <w:rFonts w:hint="eastAsia" w:ascii="宋体" w:hAnsi="宋体" w:eastAsia="宋体" w:cs="宋体"/>
                <w:color w:val="auto"/>
              </w:rPr>
              <w:t>3、防雾、防油污，在蒸汽环境中可以清晰监控</w:t>
            </w:r>
          </w:p>
          <w:p>
            <w:pPr>
              <w:rPr>
                <w:rFonts w:hint="eastAsia" w:ascii="宋体" w:hAnsi="宋体" w:eastAsia="宋体" w:cs="宋体"/>
                <w:color w:val="auto"/>
              </w:rPr>
            </w:pPr>
            <w:r>
              <w:rPr>
                <w:rFonts w:hint="eastAsia" w:ascii="宋体" w:hAnsi="宋体" w:eastAsia="宋体" w:cs="宋体"/>
                <w:color w:val="auto"/>
              </w:rPr>
              <w:t>4、摄像机在30米距离以内应能探测到目标</w:t>
            </w:r>
          </w:p>
          <w:p>
            <w:pPr>
              <w:rPr>
                <w:rFonts w:hint="eastAsia" w:ascii="宋体" w:hAnsi="宋体" w:eastAsia="宋体" w:cs="宋体"/>
                <w:color w:val="auto"/>
              </w:rPr>
            </w:pPr>
            <w:r>
              <w:rPr>
                <w:rFonts w:hint="eastAsia" w:ascii="宋体" w:hAnsi="宋体" w:eastAsia="宋体" w:cs="宋体"/>
                <w:color w:val="auto"/>
              </w:rPr>
              <w:t>5、在2560××1440@25fps下，清晰度≥1400TVL。最大亮度鉴别等级≥11级，信噪比≥55dB</w:t>
            </w:r>
          </w:p>
          <w:p>
            <w:pPr>
              <w:rPr>
                <w:rFonts w:hint="eastAsia" w:ascii="宋体" w:hAnsi="宋体" w:eastAsia="宋体" w:cs="宋体"/>
                <w:color w:val="auto"/>
              </w:rPr>
            </w:pPr>
            <w:r>
              <w:rPr>
                <w:rFonts w:hint="eastAsia" w:ascii="宋体" w:hAnsi="宋体" w:eastAsia="宋体" w:cs="宋体"/>
                <w:color w:val="auto"/>
              </w:rPr>
              <w:t>6、支持H.264、H.265、MJPEG视频编码格式</w:t>
            </w:r>
          </w:p>
          <w:p>
            <w:pPr>
              <w:rPr>
                <w:rFonts w:hint="eastAsia" w:ascii="宋体" w:hAnsi="宋体" w:eastAsia="宋体" w:cs="宋体"/>
                <w:color w:val="auto"/>
              </w:rPr>
            </w:pPr>
            <w:r>
              <w:rPr>
                <w:rFonts w:hint="eastAsia" w:ascii="宋体" w:hAnsi="宋体" w:eastAsia="宋体" w:cs="宋体"/>
                <w:color w:val="auto"/>
              </w:rPr>
              <w:t>7、支持内置MIC，环向拾音</w:t>
            </w:r>
          </w:p>
          <w:p>
            <w:pPr>
              <w:rPr>
                <w:rFonts w:hint="eastAsia" w:ascii="宋体" w:hAnsi="宋体" w:eastAsia="宋体" w:cs="宋体"/>
                <w:color w:val="auto"/>
              </w:rPr>
            </w:pPr>
            <w:r>
              <w:rPr>
                <w:rFonts w:hint="eastAsia" w:ascii="宋体" w:hAnsi="宋体" w:eastAsia="宋体" w:cs="宋体"/>
                <w:color w:val="auto"/>
              </w:rPr>
              <w:t>8、不低于IP66防尘防水等级</w:t>
            </w:r>
          </w:p>
          <w:p>
            <w:pPr>
              <w:pStyle w:val="21"/>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9、标配POE供电</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113</w:t>
            </w:r>
          </w:p>
        </w:tc>
        <w:tc>
          <w:tcPr>
            <w:tcW w:w="590"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监控食堂售饭区和厨房操作间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1-22</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室内摄像机</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1、具有≥400万像素 CMOS传感器</w:t>
            </w:r>
          </w:p>
          <w:p>
            <w:pPr>
              <w:rPr>
                <w:rFonts w:hint="eastAsia" w:ascii="宋体" w:hAnsi="宋体" w:eastAsia="宋体" w:cs="宋体"/>
                <w:color w:val="auto"/>
              </w:rPr>
            </w:pPr>
            <w:r>
              <w:rPr>
                <w:rFonts w:hint="eastAsia" w:ascii="宋体" w:hAnsi="宋体" w:eastAsia="宋体" w:cs="宋体"/>
                <w:color w:val="auto"/>
              </w:rPr>
              <w:t>2、摄像机在30米距离以内应能探测到目标</w:t>
            </w:r>
          </w:p>
          <w:p>
            <w:pPr>
              <w:rPr>
                <w:rFonts w:hint="eastAsia" w:ascii="宋体" w:hAnsi="宋体" w:eastAsia="宋体" w:cs="宋体"/>
                <w:color w:val="auto"/>
              </w:rPr>
            </w:pPr>
            <w:r>
              <w:rPr>
                <w:rFonts w:hint="eastAsia" w:ascii="宋体" w:hAnsi="宋体" w:eastAsia="宋体" w:cs="宋体"/>
                <w:color w:val="auto"/>
              </w:rPr>
              <w:t>3、在2560××1440@25fps下，清晰度≥1400TVL。最大亮度鉴别等级≥11级，信噪比≥55dB</w:t>
            </w:r>
          </w:p>
          <w:p>
            <w:pPr>
              <w:rPr>
                <w:rFonts w:hint="eastAsia" w:ascii="宋体" w:hAnsi="宋体" w:eastAsia="宋体" w:cs="宋体"/>
                <w:color w:val="auto"/>
              </w:rPr>
            </w:pPr>
            <w:r>
              <w:rPr>
                <w:rFonts w:hint="eastAsia" w:ascii="宋体" w:hAnsi="宋体" w:eastAsia="宋体" w:cs="宋体"/>
                <w:color w:val="auto"/>
              </w:rPr>
              <w:t>4、支持H.264、H.265、MJPEG视频编码格式</w:t>
            </w:r>
          </w:p>
          <w:p>
            <w:pPr>
              <w:rPr>
                <w:rFonts w:hint="eastAsia" w:ascii="宋体" w:hAnsi="宋体" w:eastAsia="宋体" w:cs="宋体"/>
                <w:color w:val="auto"/>
              </w:rPr>
            </w:pPr>
            <w:r>
              <w:rPr>
                <w:rFonts w:hint="eastAsia" w:ascii="宋体" w:hAnsi="宋体" w:eastAsia="宋体" w:cs="宋体"/>
                <w:color w:val="auto"/>
              </w:rPr>
              <w:t>5、支持内置MIC，环向拾音</w:t>
            </w:r>
          </w:p>
          <w:p>
            <w:pPr>
              <w:rPr>
                <w:rFonts w:hint="eastAsia" w:ascii="宋体" w:hAnsi="宋体" w:eastAsia="宋体" w:cs="宋体"/>
                <w:color w:val="auto"/>
              </w:rPr>
            </w:pPr>
            <w:r>
              <w:rPr>
                <w:rFonts w:hint="eastAsia" w:ascii="宋体" w:hAnsi="宋体" w:eastAsia="宋体" w:cs="宋体"/>
                <w:color w:val="auto"/>
              </w:rPr>
              <w:t>6、不低于IP66防尘防水等级</w:t>
            </w:r>
          </w:p>
          <w:p>
            <w:pPr>
              <w:rPr>
                <w:rFonts w:hint="eastAsia" w:ascii="宋体" w:hAnsi="宋体" w:eastAsia="宋体" w:cs="宋体"/>
                <w:color w:val="auto"/>
              </w:rPr>
            </w:pPr>
            <w:r>
              <w:rPr>
                <w:rFonts w:hint="eastAsia" w:ascii="宋体" w:hAnsi="宋体" w:eastAsia="宋体" w:cs="宋体"/>
                <w:color w:val="auto"/>
              </w:rPr>
              <w:t>7、标配POE供电</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48</w:t>
            </w:r>
          </w:p>
        </w:tc>
        <w:tc>
          <w:tcPr>
            <w:tcW w:w="590"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监控食堂就餐区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1-23</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人脸抓拍摄像机</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1、≥400万像素 CMOS传感器</w:t>
            </w:r>
          </w:p>
          <w:p>
            <w:pPr>
              <w:rPr>
                <w:rFonts w:hint="eastAsia" w:ascii="宋体" w:hAnsi="宋体" w:eastAsia="宋体" w:cs="宋体"/>
                <w:color w:val="auto"/>
              </w:rPr>
            </w:pPr>
            <w:r>
              <w:rPr>
                <w:rFonts w:hint="eastAsia" w:ascii="宋体" w:hAnsi="宋体" w:eastAsia="宋体" w:cs="宋体"/>
                <w:color w:val="auto"/>
              </w:rPr>
              <w:t>2、同一静止场景下，设备在H.264或H.265编码方式时，开启智能编码后，码率可节约≥70％，图像主观质量无明显降低；在H.265编码方式时，开启智能编码功能后，最低码率≥80Kbps，并可呈现正常监控画面</w:t>
            </w:r>
          </w:p>
          <w:p>
            <w:pPr>
              <w:rPr>
                <w:rFonts w:hint="eastAsia" w:ascii="宋体" w:hAnsi="宋体" w:eastAsia="宋体" w:cs="宋体"/>
                <w:color w:val="auto"/>
              </w:rPr>
            </w:pPr>
            <w:r>
              <w:rPr>
                <w:rFonts w:hint="eastAsia" w:ascii="宋体" w:hAnsi="宋体" w:eastAsia="宋体" w:cs="宋体"/>
                <w:color w:val="auto"/>
              </w:rPr>
              <w:t>3、1颗红外补光，30m有效红外距离</w:t>
            </w:r>
          </w:p>
          <w:p>
            <w:pPr>
              <w:rPr>
                <w:rFonts w:hint="eastAsia" w:ascii="宋体" w:hAnsi="宋体" w:eastAsia="宋体" w:cs="宋体"/>
                <w:color w:val="auto"/>
              </w:rPr>
            </w:pPr>
            <w:r>
              <w:rPr>
                <w:rFonts w:hint="eastAsia" w:ascii="宋体" w:hAnsi="宋体" w:eastAsia="宋体" w:cs="宋体"/>
                <w:color w:val="auto"/>
              </w:rPr>
              <w:t>4、内置MIC，扬声器，双向对讲，拾音距离5米</w:t>
            </w:r>
          </w:p>
          <w:p>
            <w:pPr>
              <w:rPr>
                <w:rFonts w:hint="eastAsia" w:ascii="宋体" w:hAnsi="宋体" w:eastAsia="宋体" w:cs="宋体"/>
                <w:color w:val="auto"/>
              </w:rPr>
            </w:pPr>
            <w:r>
              <w:rPr>
                <w:rFonts w:hint="eastAsia" w:ascii="宋体" w:hAnsi="宋体" w:eastAsia="宋体" w:cs="宋体"/>
                <w:color w:val="auto"/>
              </w:rPr>
              <w:t>5、支持智能监控、人脸抓拍双模式切换；人脸抓拍支持年龄、性别、口罩、眼镜、人脸属性可信度等属性叠加；</w:t>
            </w:r>
          </w:p>
          <w:p>
            <w:pPr>
              <w:rPr>
                <w:rFonts w:hint="eastAsia" w:ascii="宋体" w:hAnsi="宋体" w:eastAsia="宋体" w:cs="宋体"/>
                <w:color w:val="auto"/>
              </w:rPr>
            </w:pPr>
            <w:r>
              <w:rPr>
                <w:rFonts w:hint="eastAsia" w:ascii="宋体" w:hAnsi="宋体" w:eastAsia="宋体" w:cs="宋体"/>
                <w:color w:val="auto"/>
              </w:rPr>
              <w:t>6、内置GPU芯片,支持深度学习算法,提供精准的人、机动车、非机动车分类检测</w:t>
            </w:r>
          </w:p>
          <w:p>
            <w:pPr>
              <w:rPr>
                <w:rFonts w:hint="eastAsia" w:ascii="宋体" w:hAnsi="宋体" w:eastAsia="宋体" w:cs="宋体"/>
                <w:color w:val="auto"/>
              </w:rPr>
            </w:pPr>
            <w:r>
              <w:rPr>
                <w:rFonts w:hint="eastAsia" w:ascii="宋体" w:hAnsi="宋体" w:eastAsia="宋体" w:cs="宋体"/>
                <w:color w:val="auto"/>
              </w:rPr>
              <w:t>7、标配PoE供电</w:t>
            </w:r>
          </w:p>
        </w:tc>
        <w:tc>
          <w:tcPr>
            <w:tcW w:w="294" w:type="pct"/>
            <w:vAlign w:val="center"/>
          </w:tcPr>
          <w:p>
            <w:pPr>
              <w:jc w:val="center"/>
              <w:textAlignment w:val="center"/>
              <w:rPr>
                <w:rFonts w:hint="eastAsia" w:ascii="宋体" w:hAnsi="宋体" w:eastAsia="宋体" w:cs="宋体"/>
                <w:color w:val="auto"/>
              </w:rPr>
            </w:pP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18</w:t>
            </w:r>
          </w:p>
        </w:tc>
        <w:tc>
          <w:tcPr>
            <w:tcW w:w="590"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监控公共走廊和楼梯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1-24</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安装支架</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定制，国产优质，表面防锈处理，适应食堂高温高湿环境</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只</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179</w:t>
            </w:r>
          </w:p>
        </w:tc>
        <w:tc>
          <w:tcPr>
            <w:tcW w:w="590" w:type="pct"/>
            <w:vAlign w:val="center"/>
          </w:tcPr>
          <w:p>
            <w:pPr>
              <w:jc w:val="center"/>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1-25</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监视器</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1、55寸液晶LED；</w:t>
            </w:r>
          </w:p>
          <w:p>
            <w:pPr>
              <w:rPr>
                <w:rFonts w:hint="eastAsia" w:ascii="宋体" w:hAnsi="宋体" w:eastAsia="宋体" w:cs="宋体"/>
                <w:color w:val="auto"/>
              </w:rPr>
            </w:pPr>
            <w:r>
              <w:rPr>
                <w:rFonts w:hint="eastAsia" w:ascii="宋体" w:hAnsi="宋体" w:eastAsia="宋体" w:cs="宋体"/>
                <w:color w:val="auto"/>
              </w:rPr>
              <w:t>2、像素间距（mm）：0.630(H)*0.630(V)；</w:t>
            </w:r>
          </w:p>
          <w:p>
            <w:pPr>
              <w:rPr>
                <w:rFonts w:hint="eastAsia" w:ascii="宋体" w:hAnsi="宋体" w:eastAsia="宋体" w:cs="宋体"/>
                <w:color w:val="auto"/>
              </w:rPr>
            </w:pPr>
            <w:r>
              <w:rPr>
                <w:rFonts w:hint="eastAsia" w:ascii="宋体" w:hAnsi="宋体" w:eastAsia="宋体" w:cs="宋体"/>
                <w:color w:val="auto"/>
              </w:rPr>
              <w:t>3、分辨率：1920*1080；亮度（cd/m2）：500；对比度：1200:1；响时间：≤8ms；</w:t>
            </w:r>
          </w:p>
          <w:p>
            <w:pPr>
              <w:rPr>
                <w:rFonts w:hint="eastAsia" w:ascii="宋体" w:hAnsi="宋体" w:eastAsia="宋体" w:cs="宋体"/>
                <w:color w:val="auto"/>
              </w:rPr>
            </w:pPr>
            <w:r>
              <w:rPr>
                <w:rFonts w:hint="eastAsia" w:ascii="宋体" w:hAnsi="宋体" w:eastAsia="宋体" w:cs="宋体"/>
                <w:color w:val="auto"/>
              </w:rPr>
              <w:t>4、超高亮度、超高对比度、超耐用性</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5</w:t>
            </w:r>
          </w:p>
        </w:tc>
        <w:tc>
          <w:tcPr>
            <w:tcW w:w="590" w:type="pct"/>
            <w:vMerge w:val="restart"/>
            <w:vAlign w:val="center"/>
          </w:tcPr>
          <w:p>
            <w:pPr>
              <w:jc w:val="left"/>
              <w:textAlignment w:val="center"/>
              <w:rPr>
                <w:rFonts w:hint="eastAsia" w:ascii="宋体" w:hAnsi="宋体" w:eastAsia="宋体" w:cs="宋体"/>
                <w:color w:val="auto"/>
              </w:rPr>
            </w:pPr>
            <w:r>
              <w:rPr>
                <w:rFonts w:hint="eastAsia" w:ascii="宋体" w:hAnsi="宋体" w:eastAsia="宋体" w:cs="宋体"/>
                <w:color w:val="auto"/>
              </w:rPr>
              <w:t>可以使用一体化产品，同时具备监视器和解码器所有功能。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1-26</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解码器</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1、支持H.264/265/MJPEG解码格式；</w:t>
            </w:r>
          </w:p>
          <w:p>
            <w:pPr>
              <w:rPr>
                <w:rFonts w:hint="eastAsia" w:ascii="宋体" w:hAnsi="宋体" w:eastAsia="宋体" w:cs="宋体"/>
                <w:color w:val="auto"/>
              </w:rPr>
            </w:pPr>
            <w:r>
              <w:rPr>
                <w:rFonts w:hint="eastAsia" w:ascii="宋体" w:hAnsi="宋体" w:eastAsia="宋体" w:cs="宋体"/>
                <w:color w:val="auto"/>
              </w:rPr>
              <w:t>2、解码能力：40路1920*1080@30fps实时视频解码；</w:t>
            </w:r>
          </w:p>
          <w:p>
            <w:pPr>
              <w:rPr>
                <w:rFonts w:hint="eastAsia" w:ascii="宋体" w:hAnsi="宋体" w:eastAsia="宋体" w:cs="宋体"/>
                <w:color w:val="auto"/>
              </w:rPr>
            </w:pPr>
            <w:r>
              <w:rPr>
                <w:rFonts w:hint="eastAsia" w:ascii="宋体" w:hAnsi="宋体" w:eastAsia="宋体" w:cs="宋体"/>
                <w:color w:val="auto"/>
              </w:rPr>
              <w:t xml:space="preserve">3、输入通道：1路HDMI视频输入接口；输出通道：5路HDMI视频输出接口； </w:t>
            </w:r>
          </w:p>
          <w:p>
            <w:pPr>
              <w:rPr>
                <w:rFonts w:hint="eastAsia" w:ascii="宋体" w:hAnsi="宋体" w:eastAsia="宋体" w:cs="宋体"/>
                <w:color w:val="auto"/>
              </w:rPr>
            </w:pPr>
            <w:r>
              <w:rPr>
                <w:rFonts w:hint="eastAsia" w:ascii="宋体" w:hAnsi="宋体" w:eastAsia="宋体" w:cs="宋体"/>
                <w:color w:val="auto"/>
              </w:rPr>
              <w:t>4、千兆网口；</w:t>
            </w:r>
          </w:p>
          <w:p>
            <w:pPr>
              <w:rPr>
                <w:rFonts w:hint="eastAsia" w:ascii="宋体" w:hAnsi="宋体" w:eastAsia="宋体" w:cs="宋体"/>
                <w:color w:val="auto"/>
              </w:rPr>
            </w:pPr>
            <w:r>
              <w:rPr>
                <w:rFonts w:hint="eastAsia" w:ascii="宋体" w:hAnsi="宋体" w:eastAsia="宋体" w:cs="宋体"/>
                <w:color w:val="auto"/>
              </w:rPr>
              <w:t>5、支持拼接、开窗、叠加等功能。</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5</w:t>
            </w:r>
          </w:p>
        </w:tc>
        <w:tc>
          <w:tcPr>
            <w:tcW w:w="590" w:type="pct"/>
            <w:vMerge w:val="continue"/>
          </w:tcPr>
          <w:p>
            <w:pPr>
              <w:jc w:val="center"/>
              <w:textAlignment w:val="center"/>
              <w:rPr>
                <w:rFonts w:hint="eastAsia" w:ascii="宋体" w:hAnsi="宋体" w:eastAsia="宋体" w:cs="宋体"/>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5000" w:type="pct"/>
            <w:gridSpan w:val="6"/>
            <w:vAlign w:val="center"/>
          </w:tcPr>
          <w:p>
            <w:pPr>
              <w:spacing w:before="100" w:beforeAutospacing="1" w:after="100" w:afterAutospacing="1"/>
              <w:rPr>
                <w:rFonts w:hint="eastAsia" w:ascii="宋体" w:hAnsi="宋体" w:eastAsia="宋体" w:cs="宋体"/>
                <w:b/>
                <w:bCs/>
                <w:color w:val="auto"/>
              </w:rPr>
            </w:pPr>
            <w:r>
              <w:rPr>
                <w:rFonts w:hint="eastAsia" w:ascii="宋体" w:hAnsi="宋体" w:eastAsia="宋体" w:cs="宋体"/>
                <w:b/>
                <w:bCs/>
                <w:color w:val="auto"/>
              </w:rPr>
              <w:t>五、图文信息中心视频监控</w:t>
            </w:r>
          </w:p>
          <w:p>
            <w:pPr>
              <w:spacing w:before="100" w:beforeAutospacing="1" w:after="100" w:afterAutospacing="1"/>
              <w:rPr>
                <w:rFonts w:hint="eastAsia" w:ascii="宋体" w:hAnsi="宋体" w:eastAsia="宋体" w:cs="宋体"/>
                <w:color w:val="auto"/>
              </w:rPr>
            </w:pPr>
            <w:r>
              <w:rPr>
                <w:rFonts w:hint="eastAsia" w:ascii="宋体" w:hAnsi="宋体" w:eastAsia="宋体" w:cs="宋体"/>
                <w:color w:val="auto"/>
              </w:rPr>
              <w:t>总体要求：</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1、覆盖图文信息中心所有楼梯电梯出口、公共走廊和阅览室等公共场所。</w:t>
            </w:r>
          </w:p>
          <w:p>
            <w:pPr>
              <w:pStyle w:val="21"/>
              <w:ind w:firstLine="210"/>
              <w:rPr>
                <w:rFonts w:hint="eastAsia" w:ascii="宋体" w:hAnsi="宋体" w:eastAsia="宋体" w:cs="宋体"/>
                <w:color w:val="auto"/>
                <w:sz w:val="21"/>
                <w:szCs w:val="21"/>
              </w:rPr>
            </w:pPr>
            <w:r>
              <w:rPr>
                <w:rFonts w:hint="eastAsia" w:ascii="宋体" w:hAnsi="宋体" w:eastAsia="宋体" w:cs="宋体"/>
                <w:color w:val="auto"/>
                <w:sz w:val="21"/>
                <w:szCs w:val="21"/>
              </w:rPr>
              <w:t>2、推荐品牌：海康威视、大华、宇视、紫光华智。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1-27</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监控摄像机</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1、≥400万像素 CMOS传感器</w:t>
            </w:r>
          </w:p>
          <w:p>
            <w:pPr>
              <w:rPr>
                <w:rFonts w:hint="eastAsia" w:ascii="宋体" w:hAnsi="宋体" w:eastAsia="宋体" w:cs="宋体"/>
                <w:color w:val="auto"/>
              </w:rPr>
            </w:pPr>
            <w:r>
              <w:rPr>
                <w:rFonts w:hint="eastAsia" w:ascii="宋体" w:hAnsi="宋体" w:eastAsia="宋体" w:cs="宋体"/>
                <w:color w:val="auto"/>
              </w:rPr>
              <w:t>2、摄像机在30米距离以内应能探测到目标</w:t>
            </w:r>
          </w:p>
          <w:p>
            <w:pPr>
              <w:rPr>
                <w:rFonts w:hint="eastAsia" w:ascii="宋体" w:hAnsi="宋体" w:eastAsia="宋体" w:cs="宋体"/>
                <w:color w:val="auto"/>
              </w:rPr>
            </w:pPr>
            <w:r>
              <w:rPr>
                <w:rFonts w:hint="eastAsia" w:ascii="宋体" w:hAnsi="宋体" w:eastAsia="宋体" w:cs="宋体"/>
                <w:color w:val="auto"/>
              </w:rPr>
              <w:t>3、在2560××1440@25fps下，清晰度≥1400TVL。最大亮度鉴别等级≥11级，信噪比≥55dB</w:t>
            </w:r>
          </w:p>
          <w:p>
            <w:pPr>
              <w:rPr>
                <w:rFonts w:hint="eastAsia" w:ascii="宋体" w:hAnsi="宋体" w:eastAsia="宋体" w:cs="宋体"/>
                <w:color w:val="auto"/>
              </w:rPr>
            </w:pPr>
            <w:r>
              <w:rPr>
                <w:rFonts w:hint="eastAsia" w:ascii="宋体" w:hAnsi="宋体" w:eastAsia="宋体" w:cs="宋体"/>
                <w:color w:val="auto"/>
              </w:rPr>
              <w:t>4、支持H.264、H.265、MJPEG视频编码格式</w:t>
            </w:r>
          </w:p>
          <w:p>
            <w:pPr>
              <w:rPr>
                <w:rFonts w:hint="eastAsia" w:ascii="宋体" w:hAnsi="宋体" w:eastAsia="宋体" w:cs="宋体"/>
                <w:color w:val="auto"/>
              </w:rPr>
            </w:pPr>
            <w:r>
              <w:rPr>
                <w:rFonts w:hint="eastAsia" w:ascii="宋体" w:hAnsi="宋体" w:eastAsia="宋体" w:cs="宋体"/>
                <w:color w:val="auto"/>
              </w:rPr>
              <w:t>5、内置MIC，扬声器，双向对讲，拾音距离5米</w:t>
            </w:r>
          </w:p>
          <w:p>
            <w:pPr>
              <w:rPr>
                <w:rFonts w:hint="eastAsia" w:ascii="宋体" w:hAnsi="宋体" w:eastAsia="宋体" w:cs="宋体"/>
                <w:color w:val="auto"/>
              </w:rPr>
            </w:pPr>
            <w:r>
              <w:rPr>
                <w:rFonts w:hint="eastAsia" w:ascii="宋体" w:hAnsi="宋体" w:eastAsia="宋体" w:cs="宋体"/>
                <w:color w:val="auto"/>
              </w:rPr>
              <w:t>6、不低于IP66防尘防水等级</w:t>
            </w:r>
          </w:p>
          <w:p>
            <w:pPr>
              <w:rPr>
                <w:rFonts w:hint="eastAsia" w:ascii="宋体" w:hAnsi="宋体" w:eastAsia="宋体" w:cs="宋体"/>
                <w:color w:val="auto"/>
              </w:rPr>
            </w:pPr>
            <w:r>
              <w:rPr>
                <w:rFonts w:hint="eastAsia" w:ascii="宋体" w:hAnsi="宋体" w:eastAsia="宋体" w:cs="宋体"/>
                <w:color w:val="auto"/>
              </w:rPr>
              <w:t>7、支持POE供电</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40</w:t>
            </w:r>
          </w:p>
        </w:tc>
        <w:tc>
          <w:tcPr>
            <w:tcW w:w="590"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监控阅览室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1-28</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人脸抓拍摄像机一</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1、≥400万像素 CMOS传感器</w:t>
            </w:r>
          </w:p>
          <w:p>
            <w:pPr>
              <w:rPr>
                <w:rFonts w:hint="eastAsia" w:ascii="宋体" w:hAnsi="宋体" w:eastAsia="宋体" w:cs="宋体"/>
                <w:color w:val="auto"/>
              </w:rPr>
            </w:pPr>
            <w:r>
              <w:rPr>
                <w:rFonts w:hint="eastAsia" w:ascii="宋体" w:hAnsi="宋体" w:eastAsia="宋体" w:cs="宋体"/>
                <w:color w:val="auto"/>
              </w:rPr>
              <w:t>2、同一静止场景下，设备在H.264或H.265编码方式时，开启智能编码后，码率可节约≥70％，图像主观质量无明显降低；在H.265编码方式时，开启智能编码功能后，最低码率≥80Kbps，并可呈现正常监控画面</w:t>
            </w:r>
          </w:p>
          <w:p>
            <w:pPr>
              <w:rPr>
                <w:rFonts w:hint="eastAsia" w:ascii="宋体" w:hAnsi="宋体" w:eastAsia="宋体" w:cs="宋体"/>
                <w:color w:val="auto"/>
              </w:rPr>
            </w:pPr>
            <w:r>
              <w:rPr>
                <w:rFonts w:hint="eastAsia" w:ascii="宋体" w:hAnsi="宋体" w:eastAsia="宋体" w:cs="宋体"/>
                <w:color w:val="auto"/>
              </w:rPr>
              <w:t>3、1颗红外补光，30m有效红外距离</w:t>
            </w:r>
          </w:p>
          <w:p>
            <w:pPr>
              <w:rPr>
                <w:rFonts w:hint="eastAsia" w:ascii="宋体" w:hAnsi="宋体" w:eastAsia="宋体" w:cs="宋体"/>
                <w:color w:val="auto"/>
              </w:rPr>
            </w:pPr>
            <w:r>
              <w:rPr>
                <w:rFonts w:hint="eastAsia" w:ascii="宋体" w:hAnsi="宋体" w:eastAsia="宋体" w:cs="宋体"/>
                <w:color w:val="auto"/>
              </w:rPr>
              <w:t>4、内置MIC，扬声器，双向对讲，拾音距离5米</w:t>
            </w:r>
          </w:p>
          <w:p>
            <w:pPr>
              <w:rPr>
                <w:rFonts w:hint="eastAsia" w:ascii="宋体" w:hAnsi="宋体" w:eastAsia="宋体" w:cs="宋体"/>
                <w:color w:val="auto"/>
              </w:rPr>
            </w:pPr>
            <w:r>
              <w:rPr>
                <w:rFonts w:hint="eastAsia" w:ascii="宋体" w:hAnsi="宋体" w:eastAsia="宋体" w:cs="宋体"/>
                <w:color w:val="auto"/>
              </w:rPr>
              <w:t>5、支持智能监控、人脸抓拍双模式切换；人脸抓拍支持年龄、性别、口罩、眼镜、人脸属性可信度等属性叠加；</w:t>
            </w:r>
          </w:p>
          <w:p>
            <w:pPr>
              <w:rPr>
                <w:rFonts w:hint="eastAsia" w:ascii="宋体" w:hAnsi="宋体" w:eastAsia="宋体" w:cs="宋体"/>
                <w:color w:val="auto"/>
              </w:rPr>
            </w:pPr>
            <w:r>
              <w:rPr>
                <w:rFonts w:hint="eastAsia" w:ascii="宋体" w:hAnsi="宋体" w:eastAsia="宋体" w:cs="宋体"/>
                <w:color w:val="auto"/>
              </w:rPr>
              <w:t>6、内置GPU芯片,支持深度学习算法,提供精准的人、机动车、非机动车分类检测</w:t>
            </w:r>
          </w:p>
          <w:p>
            <w:pPr>
              <w:rPr>
                <w:rFonts w:hint="eastAsia" w:ascii="宋体" w:hAnsi="宋体" w:eastAsia="宋体" w:cs="宋体"/>
                <w:color w:val="auto"/>
              </w:rPr>
            </w:pPr>
            <w:r>
              <w:rPr>
                <w:rFonts w:hint="eastAsia" w:ascii="宋体" w:hAnsi="宋体" w:eastAsia="宋体" w:cs="宋体"/>
                <w:color w:val="auto"/>
              </w:rPr>
              <w:t>7、标配PoE供电</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台</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50</w:t>
            </w:r>
          </w:p>
        </w:tc>
        <w:tc>
          <w:tcPr>
            <w:tcW w:w="590"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监控公共走廊和楼梯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1-29</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人脸抓拍摄像机二</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1. ≥400万像素CMOS传感器</w:t>
            </w:r>
          </w:p>
          <w:p>
            <w:pPr>
              <w:rPr>
                <w:rFonts w:hint="eastAsia" w:ascii="宋体" w:hAnsi="宋体" w:eastAsia="宋体" w:cs="宋体"/>
                <w:color w:val="auto"/>
              </w:rPr>
            </w:pPr>
            <w:r>
              <w:rPr>
                <w:rFonts w:hint="eastAsia" w:ascii="宋体" w:hAnsi="宋体" w:eastAsia="宋体" w:cs="宋体"/>
                <w:color w:val="auto"/>
              </w:rPr>
              <w:t>2.支持三码流同时输出，主码流最高分辨率2688×1520@25fps</w:t>
            </w:r>
          </w:p>
          <w:p>
            <w:pPr>
              <w:rPr>
                <w:rFonts w:hint="eastAsia" w:ascii="宋体" w:hAnsi="宋体" w:eastAsia="宋体" w:cs="宋体"/>
                <w:color w:val="auto"/>
              </w:rPr>
            </w:pPr>
            <w:r>
              <w:rPr>
                <w:rFonts w:hint="eastAsia" w:ascii="宋体" w:hAnsi="宋体" w:eastAsia="宋体" w:cs="宋体"/>
                <w:color w:val="auto"/>
              </w:rPr>
              <w:t>3.支持H.265、H.264编码方式</w:t>
            </w:r>
          </w:p>
          <w:p>
            <w:pPr>
              <w:rPr>
                <w:rFonts w:hint="eastAsia" w:ascii="宋体" w:hAnsi="宋体" w:eastAsia="宋体" w:cs="宋体"/>
                <w:color w:val="auto"/>
              </w:rPr>
            </w:pPr>
            <w:r>
              <w:rPr>
                <w:rFonts w:hint="eastAsia" w:ascii="宋体" w:hAnsi="宋体" w:eastAsia="宋体" w:cs="宋体"/>
                <w:color w:val="auto"/>
              </w:rPr>
              <w:t>4.软件定义，支持算法在线动态加载、升级、卸载，过程中摄像机的音视频业务不中断</w:t>
            </w:r>
          </w:p>
          <w:p>
            <w:pPr>
              <w:rPr>
                <w:rFonts w:hint="eastAsia" w:ascii="宋体" w:hAnsi="宋体" w:eastAsia="宋体" w:cs="宋体"/>
                <w:color w:val="auto"/>
              </w:rPr>
            </w:pPr>
            <w:r>
              <w:rPr>
                <w:rFonts w:hint="eastAsia" w:ascii="宋体" w:hAnsi="宋体" w:eastAsia="宋体" w:cs="宋体"/>
                <w:color w:val="auto"/>
              </w:rPr>
              <w:t>5.支持混行检测抓拍、关联抓拍</w:t>
            </w:r>
          </w:p>
          <w:p>
            <w:pPr>
              <w:rPr>
                <w:rFonts w:hint="eastAsia" w:ascii="宋体" w:hAnsi="宋体" w:eastAsia="宋体" w:cs="宋体"/>
                <w:color w:val="auto"/>
              </w:rPr>
            </w:pPr>
            <w:r>
              <w:rPr>
                <w:rFonts w:hint="eastAsia" w:ascii="宋体" w:hAnsi="宋体" w:eastAsia="宋体" w:cs="宋体"/>
                <w:color w:val="auto"/>
              </w:rPr>
              <w:t>6.支持人脸优选抓拍、人脸属性提取、人脸识别比对</w:t>
            </w:r>
          </w:p>
          <w:p>
            <w:pPr>
              <w:rPr>
                <w:rFonts w:hint="eastAsia" w:ascii="宋体" w:hAnsi="宋体" w:eastAsia="宋体" w:cs="宋体"/>
                <w:color w:val="auto"/>
              </w:rPr>
            </w:pPr>
            <w:r>
              <w:rPr>
                <w:rFonts w:hint="eastAsia" w:ascii="宋体" w:hAnsi="宋体" w:eastAsia="宋体" w:cs="宋体"/>
                <w:color w:val="auto"/>
              </w:rPr>
              <w:t>7.支持区域人数统计、客流统计</w:t>
            </w:r>
          </w:p>
          <w:p>
            <w:pPr>
              <w:rPr>
                <w:rFonts w:hint="eastAsia" w:ascii="宋体" w:hAnsi="宋体" w:eastAsia="宋体" w:cs="宋体"/>
                <w:color w:val="auto"/>
              </w:rPr>
            </w:pPr>
            <w:r>
              <w:rPr>
                <w:rFonts w:hint="eastAsia" w:ascii="宋体" w:hAnsi="宋体" w:eastAsia="宋体" w:cs="宋体"/>
                <w:color w:val="auto"/>
              </w:rPr>
              <w:t>8.配置256G Micro SD卡</w:t>
            </w:r>
          </w:p>
          <w:p>
            <w:pPr>
              <w:rPr>
                <w:rFonts w:hint="eastAsia" w:ascii="宋体" w:hAnsi="宋体" w:eastAsia="宋体" w:cs="宋体"/>
                <w:color w:val="auto"/>
              </w:rPr>
            </w:pPr>
            <w:r>
              <w:rPr>
                <w:rFonts w:hint="eastAsia" w:ascii="宋体" w:hAnsi="宋体" w:eastAsia="宋体" w:cs="宋体"/>
                <w:color w:val="auto"/>
              </w:rPr>
              <w:t>9.支持超宽动态、背光补偿、强光抑制、3D降噪、电子防抖、数字透雾</w:t>
            </w:r>
          </w:p>
          <w:p>
            <w:pPr>
              <w:rPr>
                <w:rFonts w:hint="eastAsia" w:ascii="宋体" w:hAnsi="宋体" w:eastAsia="宋体" w:cs="宋体"/>
                <w:color w:val="auto"/>
              </w:rPr>
            </w:pPr>
            <w:r>
              <w:rPr>
                <w:rFonts w:hint="eastAsia" w:ascii="宋体" w:hAnsi="宋体" w:eastAsia="宋体" w:cs="宋体"/>
                <w:color w:val="auto"/>
              </w:rPr>
              <w:t>10.ROI支持8个感兴趣区域</w:t>
            </w:r>
          </w:p>
          <w:p>
            <w:pPr>
              <w:rPr>
                <w:rFonts w:hint="eastAsia" w:ascii="宋体" w:hAnsi="宋体" w:eastAsia="宋体" w:cs="宋体"/>
                <w:color w:val="auto"/>
              </w:rPr>
            </w:pPr>
            <w:r>
              <w:rPr>
                <w:rFonts w:hint="eastAsia" w:ascii="宋体" w:hAnsi="宋体" w:eastAsia="宋体" w:cs="宋体"/>
                <w:color w:val="auto"/>
              </w:rPr>
              <w:t>11.支持IP67防护等级</w:t>
            </w:r>
          </w:p>
        </w:tc>
        <w:tc>
          <w:tcPr>
            <w:tcW w:w="294" w:type="pct"/>
            <w:vAlign w:val="center"/>
          </w:tcPr>
          <w:p>
            <w:pPr>
              <w:jc w:val="center"/>
              <w:textAlignment w:val="center"/>
              <w:rPr>
                <w:rFonts w:hint="eastAsia" w:ascii="宋体" w:hAnsi="宋体" w:eastAsia="宋体" w:cs="宋体"/>
                <w:color w:val="auto"/>
              </w:rPr>
            </w:pP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3</w:t>
            </w:r>
          </w:p>
        </w:tc>
        <w:tc>
          <w:tcPr>
            <w:tcW w:w="590" w:type="pct"/>
            <w:vAlign w:val="center"/>
          </w:tcPr>
          <w:p>
            <w:pPr>
              <w:textAlignment w:val="center"/>
              <w:rPr>
                <w:rFonts w:hint="eastAsia" w:ascii="宋体" w:hAnsi="宋体" w:eastAsia="宋体" w:cs="宋体"/>
                <w:color w:val="auto"/>
              </w:rPr>
            </w:pPr>
            <w:r>
              <w:rPr>
                <w:rFonts w:hint="eastAsia" w:ascii="宋体" w:hAnsi="宋体" w:eastAsia="宋体" w:cs="宋体"/>
                <w:color w:val="auto"/>
              </w:rPr>
              <w:t>监控图文信息中心一楼三个大门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70" w:type="pct"/>
            <w:vAlign w:val="center"/>
          </w:tcPr>
          <w:p>
            <w:pPr>
              <w:spacing w:before="100" w:beforeAutospacing="1" w:after="100" w:afterAutospacing="1"/>
              <w:jc w:val="center"/>
              <w:rPr>
                <w:rFonts w:hint="eastAsia" w:ascii="宋体" w:hAnsi="宋体" w:eastAsia="宋体" w:cs="宋体"/>
                <w:color w:val="auto"/>
              </w:rPr>
            </w:pPr>
            <w:r>
              <w:rPr>
                <w:rFonts w:hint="eastAsia" w:ascii="宋体" w:hAnsi="宋体" w:eastAsia="宋体" w:cs="宋体"/>
                <w:color w:val="auto"/>
              </w:rPr>
              <w:t>1-30</w:t>
            </w:r>
          </w:p>
        </w:tc>
        <w:tc>
          <w:tcPr>
            <w:tcW w:w="463" w:type="pct"/>
            <w:vAlign w:val="center"/>
          </w:tcPr>
          <w:p>
            <w:pPr>
              <w:textAlignment w:val="center"/>
              <w:rPr>
                <w:rFonts w:hint="eastAsia" w:ascii="宋体" w:hAnsi="宋体" w:eastAsia="宋体" w:cs="宋体"/>
                <w:color w:val="auto"/>
              </w:rPr>
            </w:pPr>
            <w:r>
              <w:rPr>
                <w:rFonts w:hint="eastAsia" w:ascii="宋体" w:hAnsi="宋体" w:eastAsia="宋体" w:cs="宋体"/>
                <w:color w:val="auto"/>
              </w:rPr>
              <w:t>安装支架</w:t>
            </w:r>
          </w:p>
        </w:tc>
        <w:tc>
          <w:tcPr>
            <w:tcW w:w="3090" w:type="pct"/>
            <w:vAlign w:val="center"/>
          </w:tcPr>
          <w:p>
            <w:pPr>
              <w:rPr>
                <w:rFonts w:hint="eastAsia" w:ascii="宋体" w:hAnsi="宋体" w:eastAsia="宋体" w:cs="宋体"/>
                <w:color w:val="auto"/>
              </w:rPr>
            </w:pPr>
            <w:r>
              <w:rPr>
                <w:rFonts w:hint="eastAsia" w:ascii="宋体" w:hAnsi="宋体" w:eastAsia="宋体" w:cs="宋体"/>
                <w:color w:val="auto"/>
              </w:rPr>
              <w:t>定制</w:t>
            </w:r>
          </w:p>
        </w:tc>
        <w:tc>
          <w:tcPr>
            <w:tcW w:w="294"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只</w:t>
            </w:r>
          </w:p>
        </w:tc>
        <w:tc>
          <w:tcPr>
            <w:tcW w:w="293" w:type="pct"/>
            <w:vAlign w:val="center"/>
          </w:tcPr>
          <w:p>
            <w:pPr>
              <w:jc w:val="center"/>
              <w:textAlignment w:val="center"/>
              <w:rPr>
                <w:rFonts w:hint="eastAsia" w:ascii="宋体" w:hAnsi="宋体" w:eastAsia="宋体" w:cs="宋体"/>
                <w:color w:val="auto"/>
              </w:rPr>
            </w:pPr>
            <w:r>
              <w:rPr>
                <w:rFonts w:hint="eastAsia" w:ascii="宋体" w:hAnsi="宋体" w:eastAsia="宋体" w:cs="宋体"/>
                <w:color w:val="auto"/>
              </w:rPr>
              <w:t>93</w:t>
            </w:r>
          </w:p>
        </w:tc>
        <w:tc>
          <w:tcPr>
            <w:tcW w:w="590" w:type="pct"/>
            <w:vAlign w:val="center"/>
          </w:tcPr>
          <w:p>
            <w:pPr>
              <w:jc w:val="center"/>
              <w:textAlignment w:val="center"/>
              <w:rPr>
                <w:rFonts w:hint="eastAsia" w:ascii="宋体" w:hAnsi="宋体" w:eastAsia="宋体" w:cs="宋体"/>
                <w:color w:val="auto"/>
              </w:rPr>
            </w:pPr>
          </w:p>
        </w:tc>
      </w:tr>
    </w:tbl>
    <w:p>
      <w:pPr>
        <w:pStyle w:val="21"/>
        <w:ind w:firstLine="0" w:firstLineChars="0"/>
        <w:rPr>
          <w:rFonts w:hint="eastAsia" w:ascii="宋体" w:hAnsi="宋体" w:eastAsia="宋体" w:cs="宋体"/>
          <w:color w:val="auto"/>
        </w:rPr>
      </w:pPr>
    </w:p>
    <w:p>
      <w:pPr>
        <w:ind w:right="210"/>
        <w:jc w:val="left"/>
        <w:rPr>
          <w:rFonts w:hint="eastAsia" w:ascii="宋体" w:hAnsi="宋体" w:eastAsia="宋体" w:cs="宋体"/>
          <w:b/>
          <w:color w:val="auto"/>
          <w:sz w:val="28"/>
          <w:szCs w:val="28"/>
        </w:rPr>
      </w:pPr>
    </w:p>
    <w:p>
      <w:pPr>
        <w:ind w:right="210"/>
        <w:jc w:val="left"/>
        <w:rPr>
          <w:rFonts w:hint="eastAsia" w:ascii="宋体" w:hAnsi="宋体" w:eastAsia="宋体" w:cs="宋体"/>
          <w:b/>
          <w:color w:val="auto"/>
          <w:sz w:val="28"/>
          <w:szCs w:val="28"/>
        </w:rPr>
      </w:pPr>
    </w:p>
    <w:p>
      <w:pPr>
        <w:pStyle w:val="90"/>
        <w:spacing w:before="290" w:after="290"/>
        <w:jc w:val="center"/>
        <w:outlineLvl w:val="0"/>
        <w:rPr>
          <w:rStyle w:val="47"/>
          <w:rFonts w:hint="eastAsia" w:ascii="宋体" w:hAnsi="宋体" w:eastAsia="宋体" w:cs="宋体"/>
          <w:b/>
          <w:color w:val="auto"/>
          <w:sz w:val="44"/>
        </w:rPr>
      </w:pPr>
    </w:p>
    <w:p>
      <w:pPr>
        <w:pStyle w:val="90"/>
        <w:spacing w:before="290" w:after="290"/>
        <w:jc w:val="center"/>
        <w:outlineLvl w:val="0"/>
        <w:rPr>
          <w:rStyle w:val="47"/>
          <w:rFonts w:hint="eastAsia" w:ascii="宋体" w:hAnsi="宋体" w:eastAsia="宋体" w:cs="宋体"/>
          <w:b/>
          <w:color w:val="auto"/>
          <w:sz w:val="44"/>
        </w:rPr>
      </w:pPr>
    </w:p>
    <w:p>
      <w:pPr>
        <w:pStyle w:val="90"/>
        <w:spacing w:before="290" w:after="290"/>
        <w:jc w:val="center"/>
        <w:outlineLvl w:val="0"/>
        <w:rPr>
          <w:rStyle w:val="47"/>
          <w:rFonts w:hint="eastAsia" w:ascii="宋体" w:hAnsi="宋体" w:eastAsia="宋体" w:cs="宋体"/>
          <w:b/>
          <w:color w:val="auto"/>
          <w:sz w:val="44"/>
        </w:rPr>
      </w:pPr>
    </w:p>
    <w:p>
      <w:pPr>
        <w:pStyle w:val="90"/>
        <w:spacing w:before="290" w:after="290"/>
        <w:jc w:val="center"/>
        <w:outlineLvl w:val="0"/>
        <w:rPr>
          <w:rStyle w:val="47"/>
          <w:rFonts w:hint="eastAsia" w:ascii="宋体" w:hAnsi="宋体" w:eastAsia="宋体" w:cs="宋体"/>
          <w:b/>
          <w:color w:val="auto"/>
          <w:sz w:val="44"/>
        </w:rPr>
      </w:pPr>
    </w:p>
    <w:p>
      <w:pPr>
        <w:pStyle w:val="90"/>
        <w:spacing w:before="290" w:after="290"/>
        <w:jc w:val="center"/>
        <w:outlineLvl w:val="0"/>
        <w:rPr>
          <w:rStyle w:val="47"/>
          <w:rFonts w:hint="eastAsia" w:ascii="宋体" w:hAnsi="宋体" w:eastAsia="宋体" w:cs="宋体"/>
          <w:color w:val="auto"/>
        </w:rPr>
      </w:pPr>
      <w:r>
        <w:rPr>
          <w:rStyle w:val="47"/>
          <w:rFonts w:hint="eastAsia" w:ascii="宋体" w:hAnsi="宋体" w:eastAsia="宋体" w:cs="宋体"/>
          <w:b/>
          <w:color w:val="auto"/>
          <w:sz w:val="44"/>
        </w:rPr>
        <w:t>第五章  评标方法与评标标准</w:t>
      </w:r>
      <w:bookmarkEnd w:id="6"/>
    </w:p>
    <w:p>
      <w:pPr>
        <w:snapToGrid w:val="0"/>
        <w:spacing w:line="500" w:lineRule="exact"/>
        <w:ind w:firstLine="482" w:firstLineChars="200"/>
        <w:rPr>
          <w:rStyle w:val="47"/>
          <w:rFonts w:hint="eastAsia" w:ascii="宋体" w:hAnsi="宋体" w:eastAsia="宋体" w:cs="宋体"/>
          <w:b/>
          <w:bCs/>
          <w:color w:val="auto"/>
          <w:sz w:val="24"/>
          <w:szCs w:val="24"/>
        </w:rPr>
      </w:pPr>
      <w:r>
        <w:rPr>
          <w:rStyle w:val="47"/>
          <w:rFonts w:hint="eastAsia" w:ascii="宋体" w:hAnsi="宋体" w:eastAsia="宋体" w:cs="宋体"/>
          <w:b/>
          <w:bCs/>
          <w:color w:val="auto"/>
          <w:sz w:val="24"/>
          <w:szCs w:val="24"/>
        </w:rPr>
        <w:t>一、评标方法与定标原则</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政府采购政策功能落实</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1、小微型企业价格扣除</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（1）本项目对小型和微型企业产品给予10%的扣除价格，用扣除后的价格参与评审。</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（2）供应商需按照采购文件的要求提供相应的《企业声明函》。</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（3）企业标准请参照《关于印发中小企业划型标准规定的通知》（工信部联企业[2011]300号）文件规定自行填写。</w:t>
      </w:r>
      <w:r>
        <w:rPr>
          <w:rFonts w:hint="eastAsia" w:ascii="宋体" w:hAnsi="宋体" w:eastAsia="宋体" w:cs="宋体"/>
          <w:b/>
          <w:color w:val="auto"/>
          <w:sz w:val="24"/>
          <w:szCs w:val="24"/>
        </w:rPr>
        <w:t>本采购标的的所属行业为软件和信息技术服务业</w:t>
      </w:r>
      <w:r>
        <w:rPr>
          <w:rFonts w:hint="eastAsia" w:ascii="宋体" w:hAnsi="宋体" w:eastAsia="宋体" w:cs="宋体"/>
          <w:bCs/>
          <w:color w:val="auto"/>
          <w:sz w:val="24"/>
          <w:szCs w:val="24"/>
        </w:rPr>
        <w:t>。如未按要求填写，不得享受价格扣除。</w:t>
      </w:r>
    </w:p>
    <w:p>
      <w:pPr>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2、残疾人福利单位价格扣除</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（1）本项目对残疾人福利性单位视同小型、微型企业，给予10%的价格扣除，用扣除后的价格参与评审。</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3、监狱和戒毒企业价格扣除</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（3）监狱企业标准请参照《关于政府采购支持监狱企业发展有关问题的通知》（财库[2014]68号）。</w:t>
      </w:r>
    </w:p>
    <w:p>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4、残疾人福利单位、监狱企业属于小型、微型企业的，不重复享受政策。</w:t>
      </w:r>
    </w:p>
    <w:p>
      <w:pPr>
        <w:snapToGri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hint="eastAsia" w:ascii="宋体" w:hAnsi="宋体" w:eastAsia="宋体" w:cs="宋体"/>
          <w:color w:val="auto"/>
        </w:rPr>
      </w:pPr>
      <w:r>
        <w:rPr>
          <w:rStyle w:val="47"/>
          <w:rFonts w:hint="eastAsia" w:ascii="宋体" w:hAnsi="宋体" w:eastAsia="宋体" w:cs="宋体"/>
          <w:b/>
          <w:color w:val="auto"/>
          <w:sz w:val="24"/>
          <w:szCs w:val="24"/>
        </w:rPr>
        <w:t>二、评标标准</w:t>
      </w:r>
    </w:p>
    <w:p>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本项目评分总分值为100分。</w:t>
      </w:r>
    </w:p>
    <w:tbl>
      <w:tblPr>
        <w:tblStyle w:val="22"/>
        <w:tblpPr w:leftFromText="180" w:rightFromText="180" w:vertAnchor="text" w:horzAnchor="page" w:tblpXSpec="center" w:tblpY="302"/>
        <w:tblOverlap w:val="never"/>
        <w:tblW w:w="8784" w:type="dxa"/>
        <w:jc w:val="center"/>
        <w:tblLayout w:type="fixed"/>
        <w:tblCellMar>
          <w:top w:w="0" w:type="dxa"/>
          <w:left w:w="108" w:type="dxa"/>
          <w:bottom w:w="0" w:type="dxa"/>
          <w:right w:w="108" w:type="dxa"/>
        </w:tblCellMar>
      </w:tblPr>
      <w:tblGrid>
        <w:gridCol w:w="1526"/>
        <w:gridCol w:w="7258"/>
      </w:tblGrid>
      <w:tr>
        <w:tblPrEx>
          <w:tblCellMar>
            <w:top w:w="0" w:type="dxa"/>
            <w:left w:w="108" w:type="dxa"/>
            <w:bottom w:w="0" w:type="dxa"/>
            <w:right w:w="108" w:type="dxa"/>
          </w:tblCellMar>
        </w:tblPrEx>
        <w:trPr>
          <w:trHeight w:val="69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rPr>
            </w:pPr>
            <w:r>
              <w:rPr>
                <w:rFonts w:hint="eastAsia" w:ascii="宋体" w:hAnsi="宋体" w:eastAsia="宋体" w:cs="宋体"/>
                <w:b/>
                <w:bCs/>
                <w:color w:val="auto"/>
                <w:sz w:val="24"/>
              </w:rPr>
              <w:t>评审项目</w:t>
            </w:r>
          </w:p>
        </w:tc>
        <w:tc>
          <w:tcPr>
            <w:tcW w:w="72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rPr>
            </w:pPr>
            <w:r>
              <w:rPr>
                <w:rFonts w:hint="eastAsia" w:ascii="宋体" w:hAnsi="宋体" w:eastAsia="宋体" w:cs="宋体"/>
                <w:b/>
                <w:bCs/>
                <w:color w:val="auto"/>
                <w:sz w:val="24"/>
              </w:rPr>
              <w:t>评分细则</w:t>
            </w:r>
          </w:p>
        </w:tc>
      </w:tr>
      <w:tr>
        <w:tblPrEx>
          <w:tblCellMar>
            <w:top w:w="0" w:type="dxa"/>
            <w:left w:w="108" w:type="dxa"/>
            <w:bottom w:w="0" w:type="dxa"/>
            <w:right w:w="108" w:type="dxa"/>
          </w:tblCellMar>
        </w:tblPrEx>
        <w:trPr>
          <w:trHeight w:val="446"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投标报价</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rPr>
              <w:t>65</w:t>
            </w:r>
            <w:r>
              <w:rPr>
                <w:rFonts w:hint="eastAsia" w:ascii="宋体" w:hAnsi="宋体" w:eastAsia="宋体" w:cs="宋体"/>
                <w:color w:val="auto"/>
                <w:sz w:val="24"/>
              </w:rPr>
              <w:t>分）</w:t>
            </w:r>
          </w:p>
        </w:tc>
        <w:tc>
          <w:tcPr>
            <w:tcW w:w="72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价格得分统一采用低价优先法计算，即满足招标文件要求且投标价格最低的有效投标报价为评标基准价，其价格分为满分（</w:t>
            </w:r>
            <w:r>
              <w:rPr>
                <w:rFonts w:hint="eastAsia" w:ascii="宋体" w:hAnsi="宋体" w:eastAsia="宋体" w:cs="宋体"/>
                <w:color w:val="auto"/>
              </w:rPr>
              <w:t>65</w:t>
            </w:r>
            <w:r>
              <w:rPr>
                <w:rFonts w:hint="eastAsia" w:ascii="宋体" w:hAnsi="宋体" w:eastAsia="宋体" w:cs="宋体"/>
                <w:color w:val="auto"/>
              </w:rPr>
              <w:t>分）。</w:t>
            </w:r>
          </w:p>
          <w:p>
            <w:pPr>
              <w:rPr>
                <w:rFonts w:hint="eastAsia" w:ascii="宋体" w:hAnsi="宋体" w:eastAsia="宋体" w:cs="宋体"/>
                <w:color w:val="auto"/>
                <w:sz w:val="24"/>
              </w:rPr>
            </w:pPr>
            <w:r>
              <w:rPr>
                <w:rFonts w:hint="eastAsia" w:ascii="宋体" w:hAnsi="宋体" w:eastAsia="宋体" w:cs="宋体"/>
                <w:color w:val="auto"/>
              </w:rPr>
              <w:t>其他投标人报价得分：投标报价得分=(评标基准价／投标报价)×</w:t>
            </w:r>
            <w:r>
              <w:rPr>
                <w:rFonts w:hint="eastAsia" w:ascii="宋体" w:hAnsi="宋体" w:eastAsia="宋体" w:cs="宋体"/>
                <w:color w:val="auto"/>
              </w:rPr>
              <w:t>65</w:t>
            </w:r>
            <w:r>
              <w:rPr>
                <w:rFonts w:hint="eastAsia" w:ascii="宋体" w:hAnsi="宋体" w:eastAsia="宋体" w:cs="宋体"/>
                <w:color w:val="auto"/>
              </w:rPr>
              <w:t>（四舍五入后保留小数点后两位）</w:t>
            </w:r>
          </w:p>
        </w:tc>
      </w:tr>
      <w:tr>
        <w:tblPrEx>
          <w:tblCellMar>
            <w:top w:w="0" w:type="dxa"/>
            <w:left w:w="108" w:type="dxa"/>
            <w:bottom w:w="0" w:type="dxa"/>
            <w:right w:w="108" w:type="dxa"/>
          </w:tblCellMar>
        </w:tblPrEx>
        <w:trPr>
          <w:trHeight w:val="55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技术（</w:t>
            </w:r>
            <w:r>
              <w:rPr>
                <w:rFonts w:hint="eastAsia" w:ascii="宋体" w:hAnsi="宋体" w:eastAsia="宋体" w:cs="宋体"/>
                <w:color w:val="auto"/>
                <w:sz w:val="24"/>
              </w:rPr>
              <w:t>20</w:t>
            </w:r>
            <w:r>
              <w:rPr>
                <w:rFonts w:hint="eastAsia" w:ascii="宋体" w:hAnsi="宋体" w:eastAsia="宋体" w:cs="宋体"/>
                <w:color w:val="auto"/>
                <w:sz w:val="24"/>
              </w:rPr>
              <w:t>分）</w:t>
            </w:r>
          </w:p>
        </w:tc>
        <w:tc>
          <w:tcPr>
            <w:tcW w:w="72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投标人所投产品完全满足或正偏离招标文件产品技术参数要求的得</w:t>
            </w:r>
            <w:r>
              <w:rPr>
                <w:rFonts w:hint="eastAsia" w:ascii="宋体" w:hAnsi="宋体" w:eastAsia="宋体" w:cs="宋体"/>
                <w:color w:val="auto"/>
              </w:rPr>
              <w:t>2</w:t>
            </w:r>
            <w:r>
              <w:rPr>
                <w:rFonts w:hint="eastAsia" w:ascii="宋体" w:hAnsi="宋体" w:eastAsia="宋体" w:cs="宋体"/>
                <w:color w:val="auto"/>
              </w:rPr>
              <w:t>0分，负偏离扣分。其中带“★”项参数有一项不满足扣2分，其他非带“★”项参数有一项不满足扣1分，</w:t>
            </w:r>
            <w:r>
              <w:rPr>
                <w:rFonts w:hint="eastAsia" w:ascii="宋体" w:hAnsi="宋体" w:eastAsia="宋体" w:cs="宋体"/>
                <w:color w:val="auto"/>
              </w:rPr>
              <w:t>2</w:t>
            </w:r>
            <w:r>
              <w:rPr>
                <w:rFonts w:hint="eastAsia" w:ascii="宋体" w:hAnsi="宋体" w:eastAsia="宋体" w:cs="宋体"/>
                <w:color w:val="auto"/>
              </w:rPr>
              <w:t>0分扣完为止。</w:t>
            </w:r>
          </w:p>
          <w:p>
            <w:pPr>
              <w:rPr>
                <w:rFonts w:hint="eastAsia" w:ascii="宋体" w:hAnsi="宋体" w:eastAsia="宋体" w:cs="宋体"/>
                <w:color w:val="auto"/>
              </w:rPr>
            </w:pPr>
            <w:r>
              <w:rPr>
                <w:rFonts w:hint="eastAsia" w:ascii="宋体" w:hAnsi="宋体" w:eastAsia="宋体" w:cs="宋体"/>
                <w:color w:val="auto"/>
              </w:rPr>
              <w:t>注：技术参数中要求提供相关证明材料的，需提供材料原件或复印件加盖投标人公章核查，否则不予认可；技术参数不得虚假响应，如经查实，将予以取消中标资格。</w:t>
            </w:r>
          </w:p>
        </w:tc>
      </w:tr>
      <w:tr>
        <w:tblPrEx>
          <w:tblCellMar>
            <w:top w:w="0" w:type="dxa"/>
            <w:left w:w="108" w:type="dxa"/>
            <w:bottom w:w="0" w:type="dxa"/>
            <w:right w:w="108" w:type="dxa"/>
          </w:tblCellMar>
        </w:tblPrEx>
        <w:trPr>
          <w:trHeight w:val="55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商务（</w:t>
            </w:r>
            <w:r>
              <w:rPr>
                <w:rFonts w:hint="eastAsia" w:ascii="宋体" w:hAnsi="宋体" w:eastAsia="宋体" w:cs="宋体"/>
                <w:color w:val="auto"/>
                <w:sz w:val="24"/>
              </w:rPr>
              <w:t>5</w:t>
            </w:r>
            <w:r>
              <w:rPr>
                <w:rFonts w:hint="eastAsia" w:ascii="宋体" w:hAnsi="宋体" w:eastAsia="宋体" w:cs="宋体"/>
                <w:color w:val="auto"/>
                <w:sz w:val="24"/>
              </w:rPr>
              <w:t>分）</w:t>
            </w:r>
          </w:p>
        </w:tc>
        <w:tc>
          <w:tcPr>
            <w:tcW w:w="72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投标人所投综合安防管理平台配置设备接入许可在技术参数及要求（5</w:t>
            </w:r>
            <w:r>
              <w:rPr>
                <w:rFonts w:hint="eastAsia" w:ascii="宋体" w:hAnsi="宋体" w:eastAsia="宋体" w:cs="宋体"/>
                <w:color w:val="auto"/>
              </w:rPr>
              <w:t>00</w:t>
            </w:r>
            <w:r>
              <w:rPr>
                <w:rFonts w:hint="eastAsia" w:ascii="宋体" w:hAnsi="宋体" w:eastAsia="宋体" w:cs="宋体"/>
                <w:color w:val="auto"/>
              </w:rPr>
              <w:t>许可）之外，每增加</w:t>
            </w:r>
            <w:r>
              <w:rPr>
                <w:rFonts w:hint="eastAsia" w:ascii="宋体" w:hAnsi="宋体" w:eastAsia="宋体" w:cs="宋体"/>
                <w:color w:val="auto"/>
              </w:rPr>
              <w:t>1</w:t>
            </w:r>
            <w:r>
              <w:rPr>
                <w:rFonts w:hint="eastAsia" w:ascii="宋体" w:hAnsi="宋体" w:eastAsia="宋体" w:cs="宋体"/>
                <w:color w:val="auto"/>
              </w:rPr>
              <w:t>00许可，加</w:t>
            </w:r>
            <w:r>
              <w:rPr>
                <w:rFonts w:hint="eastAsia" w:ascii="宋体" w:hAnsi="宋体" w:eastAsia="宋体" w:cs="宋体"/>
                <w:color w:val="auto"/>
              </w:rPr>
              <w:t>0.2</w:t>
            </w:r>
            <w:r>
              <w:rPr>
                <w:rFonts w:hint="eastAsia" w:ascii="宋体" w:hAnsi="宋体" w:eastAsia="宋体" w:cs="宋体"/>
                <w:color w:val="auto"/>
              </w:rPr>
              <w:t>分；最多增加到</w:t>
            </w:r>
            <w:r>
              <w:rPr>
                <w:rFonts w:hint="eastAsia" w:ascii="宋体" w:hAnsi="宋体" w:eastAsia="宋体" w:cs="宋体"/>
                <w:color w:val="auto"/>
              </w:rPr>
              <w:t>3000</w:t>
            </w:r>
            <w:r>
              <w:rPr>
                <w:rFonts w:hint="eastAsia" w:ascii="宋体" w:hAnsi="宋体" w:eastAsia="宋体" w:cs="宋体"/>
                <w:color w:val="auto"/>
              </w:rPr>
              <w:t>许可,满分</w:t>
            </w:r>
            <w:r>
              <w:rPr>
                <w:rFonts w:hint="eastAsia" w:ascii="宋体" w:hAnsi="宋体" w:eastAsia="宋体" w:cs="宋体"/>
                <w:color w:val="auto"/>
              </w:rPr>
              <w:t>5</w:t>
            </w:r>
            <w:r>
              <w:rPr>
                <w:rFonts w:hint="eastAsia" w:ascii="宋体" w:hAnsi="宋体" w:eastAsia="宋体" w:cs="宋体"/>
                <w:color w:val="auto"/>
              </w:rPr>
              <w:t>分。</w:t>
            </w:r>
          </w:p>
        </w:tc>
      </w:tr>
      <w:tr>
        <w:tblPrEx>
          <w:tblCellMar>
            <w:top w:w="0" w:type="dxa"/>
            <w:left w:w="108" w:type="dxa"/>
            <w:bottom w:w="0" w:type="dxa"/>
            <w:right w:w="108" w:type="dxa"/>
          </w:tblCellMar>
        </w:tblPrEx>
        <w:trPr>
          <w:trHeight w:val="9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方案（</w:t>
            </w:r>
            <w:r>
              <w:rPr>
                <w:rFonts w:hint="eastAsia" w:ascii="宋体" w:hAnsi="宋体" w:eastAsia="宋体" w:cs="宋体"/>
                <w:color w:val="auto"/>
                <w:sz w:val="24"/>
              </w:rPr>
              <w:t>10</w:t>
            </w:r>
            <w:r>
              <w:rPr>
                <w:rFonts w:hint="eastAsia" w:ascii="宋体" w:hAnsi="宋体" w:eastAsia="宋体" w:cs="宋体"/>
                <w:color w:val="auto"/>
                <w:sz w:val="24"/>
              </w:rPr>
              <w:t>分）</w:t>
            </w:r>
          </w:p>
        </w:tc>
        <w:tc>
          <w:tcPr>
            <w:tcW w:w="725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rPr>
            </w:pPr>
            <w:r>
              <w:rPr>
                <w:rFonts w:hint="eastAsia" w:ascii="宋体" w:hAnsi="宋体" w:eastAsia="宋体" w:cs="宋体"/>
                <w:color w:val="auto"/>
              </w:rPr>
              <w:t>1、实施方案，应结合项目实施现场制定相应方案，评委从实施方案的完整性、合理性、可行性、针对性进行评审，本项满分为5分：</w:t>
            </w:r>
          </w:p>
          <w:p>
            <w:pPr>
              <w:rPr>
                <w:rFonts w:hint="eastAsia" w:ascii="宋体" w:hAnsi="宋体" w:eastAsia="宋体" w:cs="宋体"/>
                <w:color w:val="auto"/>
              </w:rPr>
            </w:pPr>
            <w:r>
              <w:rPr>
                <w:rFonts w:hint="eastAsia" w:ascii="宋体" w:hAnsi="宋体" w:eastAsia="宋体" w:cs="宋体"/>
                <w:color w:val="auto"/>
              </w:rPr>
              <w:t>①方案优秀，专业人员配备齐全，分工与职责明确；进度安排合理，且相关保障措施得力；对各项关键工作安排合理，方案完整合理、针对性及可行性强，得3.6-5分；</w:t>
            </w:r>
          </w:p>
          <w:p>
            <w:pPr>
              <w:rPr>
                <w:rFonts w:hint="eastAsia" w:ascii="宋体" w:hAnsi="宋体" w:eastAsia="宋体" w:cs="宋体"/>
                <w:color w:val="auto"/>
              </w:rPr>
            </w:pPr>
            <w:r>
              <w:rPr>
                <w:rFonts w:hint="eastAsia" w:ascii="宋体" w:hAnsi="宋体" w:eastAsia="宋体" w:cs="宋体"/>
                <w:color w:val="auto"/>
              </w:rPr>
              <w:t>②方案良好，专业人员配备较为齐全，分工与职责较为明确；进度安排较为合理，相关保障措施良好；对各项关键工作安排比较合理，方案较为完整合理、针对性及可行性较强，得2.1-3.5分；</w:t>
            </w:r>
          </w:p>
          <w:p>
            <w:pPr>
              <w:rPr>
                <w:rFonts w:hint="eastAsia" w:ascii="宋体" w:hAnsi="宋体" w:eastAsia="宋体" w:cs="宋体"/>
                <w:color w:val="auto"/>
              </w:rPr>
            </w:pPr>
            <w:r>
              <w:rPr>
                <w:rFonts w:hint="eastAsia" w:ascii="宋体" w:hAnsi="宋体" w:eastAsia="宋体" w:cs="宋体"/>
                <w:color w:val="auto"/>
              </w:rPr>
              <w:t>③方案一般，专业人员配备基本齐全，分工与职责基本明确；进度安排基本合理，基本有相关保障措施；对各项关键工作基本做出安排，方案基本完整合理、有一定的针对性及可行性，得0.1-2分。</w:t>
            </w:r>
          </w:p>
          <w:p>
            <w:pPr>
              <w:rPr>
                <w:rFonts w:hint="eastAsia" w:ascii="宋体" w:hAnsi="宋体" w:eastAsia="宋体" w:cs="宋体"/>
                <w:color w:val="auto"/>
              </w:rPr>
            </w:pPr>
            <w:r>
              <w:rPr>
                <w:rFonts w:hint="eastAsia" w:ascii="宋体" w:hAnsi="宋体" w:eastAsia="宋体" w:cs="宋体"/>
                <w:color w:val="auto"/>
              </w:rPr>
              <w:t>2、售后服务方案，售后服务范围广泛、响应及时、反应快捷、处理迅速，且售后服务措施全面，评委从完整性、合理性、可行性进行评审，本项满分为5分：</w:t>
            </w:r>
          </w:p>
          <w:p>
            <w:pPr>
              <w:rPr>
                <w:rFonts w:hint="eastAsia" w:ascii="宋体" w:hAnsi="宋体" w:eastAsia="宋体" w:cs="宋体"/>
                <w:color w:val="auto"/>
              </w:rPr>
            </w:pPr>
            <w:r>
              <w:rPr>
                <w:rFonts w:hint="eastAsia" w:ascii="宋体" w:hAnsi="宋体" w:eastAsia="宋体" w:cs="宋体"/>
                <w:color w:val="auto"/>
              </w:rPr>
              <w:t>①方案优秀，售后服务范围广泛、响应及时、反应快捷、处理迅速，且售后服务措施全面，方案完整合理、可行性强，得3.6-5分;</w:t>
            </w:r>
          </w:p>
          <w:p>
            <w:pPr>
              <w:rPr>
                <w:rFonts w:hint="eastAsia" w:ascii="宋体" w:hAnsi="宋体" w:eastAsia="宋体" w:cs="宋体"/>
                <w:color w:val="auto"/>
              </w:rPr>
            </w:pPr>
            <w:r>
              <w:rPr>
                <w:rFonts w:hint="eastAsia" w:ascii="宋体" w:hAnsi="宋体" w:eastAsia="宋体" w:cs="宋体"/>
                <w:color w:val="auto"/>
              </w:rPr>
              <w:t>②方案良好，售后服务范围较广、响应较为及时、反应及处理较为快捷迅速，售后服务措施较为全面，方案较为完整合理、可行性较强，得2.1-3.5分;</w:t>
            </w:r>
          </w:p>
          <w:p>
            <w:pPr>
              <w:rPr>
                <w:rFonts w:hint="eastAsia" w:ascii="宋体" w:hAnsi="宋体" w:eastAsia="宋体" w:cs="宋体"/>
                <w:color w:val="auto"/>
              </w:rPr>
            </w:pPr>
            <w:r>
              <w:rPr>
                <w:rFonts w:hint="eastAsia" w:ascii="宋体" w:hAnsi="宋体" w:eastAsia="宋体" w:cs="宋体"/>
                <w:color w:val="auto"/>
              </w:rPr>
              <w:t>③方案一般，售后服务范围一般、响应、反应及处理一般，售后服务措施一般，方案基本完整合理、可行性一般，得0.1-2分。</w:t>
            </w:r>
          </w:p>
          <w:p>
            <w:pPr>
              <w:rPr>
                <w:rFonts w:hint="eastAsia" w:ascii="宋体" w:hAnsi="宋体" w:eastAsia="宋体" w:cs="宋体"/>
                <w:color w:val="auto"/>
              </w:rPr>
            </w:pPr>
            <w:r>
              <w:rPr>
                <w:rFonts w:hint="eastAsia" w:ascii="宋体" w:hAnsi="宋体" w:eastAsia="宋体" w:cs="宋体"/>
                <w:color w:val="auto"/>
              </w:rPr>
              <w:t>注：以提供的技术方案为准,未提供不得分，以0.1分为一个打分单位。</w:t>
            </w:r>
          </w:p>
        </w:tc>
      </w:tr>
    </w:tbl>
    <w:p>
      <w:pPr>
        <w:rPr>
          <w:rStyle w:val="47"/>
          <w:rFonts w:hint="eastAsia" w:ascii="宋体" w:hAnsi="宋体" w:eastAsia="宋体" w:cs="宋体"/>
          <w:color w:val="auto"/>
        </w:rPr>
      </w:pPr>
    </w:p>
    <w:p>
      <w:pPr>
        <w:snapToGrid w:val="0"/>
        <w:rPr>
          <w:rStyle w:val="47"/>
          <w:rFonts w:hint="eastAsia" w:ascii="宋体" w:hAnsi="宋体" w:eastAsia="宋体" w:cs="宋体"/>
          <w:color w:val="auto"/>
          <w:szCs w:val="20"/>
        </w:rPr>
      </w:pPr>
      <w:r>
        <w:rPr>
          <w:rStyle w:val="47"/>
          <w:rFonts w:hint="eastAsia" w:ascii="宋体" w:hAnsi="宋体" w:eastAsia="宋体" w:cs="宋体"/>
          <w:color w:val="auto"/>
          <w:szCs w:val="20"/>
        </w:rPr>
        <w:t xml:space="preserve">说明： </w:t>
      </w:r>
    </w:p>
    <w:p>
      <w:pPr>
        <w:snapToGrid w:val="0"/>
        <w:ind w:firstLine="420" w:firstLineChars="200"/>
        <w:rPr>
          <w:rStyle w:val="47"/>
          <w:rFonts w:hint="eastAsia" w:ascii="宋体" w:hAnsi="宋体" w:eastAsia="宋体" w:cs="宋体"/>
          <w:color w:val="auto"/>
          <w:szCs w:val="20"/>
        </w:rPr>
      </w:pPr>
      <w:r>
        <w:rPr>
          <w:rStyle w:val="47"/>
          <w:rFonts w:hint="eastAsia" w:ascii="宋体" w:hAnsi="宋体" w:eastAsia="宋体" w:cs="宋体"/>
          <w:color w:val="auto"/>
          <w:szCs w:val="20"/>
        </w:rPr>
        <w:t>1、若供应商提供虚假资料</w:t>
      </w:r>
      <w:r>
        <w:rPr>
          <w:rStyle w:val="47"/>
          <w:rFonts w:hint="eastAsia" w:ascii="宋体" w:hAnsi="宋体" w:eastAsia="宋体" w:cs="宋体"/>
          <w:color w:val="auto"/>
          <w:szCs w:val="20"/>
        </w:rPr>
        <w:t>或虚假响应</w:t>
      </w:r>
      <w:r>
        <w:rPr>
          <w:rStyle w:val="47"/>
          <w:rFonts w:hint="eastAsia" w:ascii="宋体" w:hAnsi="宋体" w:eastAsia="宋体" w:cs="宋体"/>
          <w:color w:val="auto"/>
          <w:szCs w:val="20"/>
        </w:rPr>
        <w:t>，一经查实</w:t>
      </w:r>
      <w:r>
        <w:rPr>
          <w:rStyle w:val="47"/>
          <w:rFonts w:hint="eastAsia" w:ascii="宋体" w:hAnsi="宋体" w:eastAsia="宋体" w:cs="宋体"/>
          <w:color w:val="auto"/>
          <w:szCs w:val="20"/>
        </w:rPr>
        <w:t>有权</w:t>
      </w:r>
      <w:r>
        <w:rPr>
          <w:rStyle w:val="47"/>
          <w:rFonts w:hint="eastAsia" w:ascii="宋体" w:hAnsi="宋体" w:eastAsia="宋体" w:cs="宋体"/>
          <w:color w:val="auto"/>
          <w:szCs w:val="20"/>
        </w:rPr>
        <w:t>取消其中标候选人资格，并向相关主管部门汇报。</w:t>
      </w:r>
    </w:p>
    <w:p>
      <w:pPr>
        <w:snapToGrid w:val="0"/>
        <w:ind w:firstLine="420" w:firstLineChars="200"/>
        <w:rPr>
          <w:rStyle w:val="47"/>
          <w:rFonts w:hint="eastAsia" w:ascii="宋体" w:hAnsi="宋体" w:eastAsia="宋体" w:cs="宋体"/>
          <w:color w:val="auto"/>
          <w:szCs w:val="20"/>
        </w:rPr>
      </w:pPr>
      <w:r>
        <w:rPr>
          <w:rStyle w:val="47"/>
          <w:rFonts w:hint="eastAsia" w:ascii="宋体" w:hAnsi="宋体" w:eastAsia="宋体" w:cs="宋体"/>
          <w:color w:val="auto"/>
          <w:szCs w:val="20"/>
        </w:rPr>
        <w:t>2、中标单位不得转包、分包，如果发现有转包、分包情况，则取消其中标候选人资格，并向相关主管部门汇报。</w:t>
      </w:r>
    </w:p>
    <w:p>
      <w:pPr>
        <w:pStyle w:val="37"/>
        <w:jc w:val="both"/>
        <w:rPr>
          <w:rStyle w:val="47"/>
          <w:rFonts w:hint="eastAsia" w:ascii="宋体" w:hAnsi="宋体" w:eastAsia="宋体" w:cs="宋体"/>
          <w:b/>
          <w:color w:val="auto"/>
          <w:sz w:val="44"/>
        </w:rPr>
      </w:pPr>
      <w:r>
        <w:rPr>
          <w:rStyle w:val="47"/>
          <w:rFonts w:hint="eastAsia" w:ascii="宋体" w:hAnsi="宋体" w:eastAsia="宋体" w:cs="宋体"/>
          <w:b/>
          <w:color w:val="auto"/>
          <w:sz w:val="44"/>
        </w:rPr>
        <w:br w:type="page"/>
      </w:r>
    </w:p>
    <w:p>
      <w:pPr>
        <w:pStyle w:val="37"/>
        <w:outlineLvl w:val="0"/>
        <w:rPr>
          <w:rStyle w:val="47"/>
          <w:rFonts w:hint="eastAsia" w:ascii="宋体" w:hAnsi="宋体" w:eastAsia="宋体" w:cs="宋体"/>
          <w:b/>
          <w:color w:val="auto"/>
          <w:sz w:val="44"/>
        </w:rPr>
      </w:pPr>
      <w:bookmarkStart w:id="11" w:name="_Toc20541"/>
      <w:r>
        <w:rPr>
          <w:rStyle w:val="47"/>
          <w:rFonts w:hint="eastAsia" w:ascii="宋体" w:hAnsi="宋体" w:eastAsia="宋体" w:cs="宋体"/>
          <w:b/>
          <w:color w:val="auto"/>
          <w:sz w:val="44"/>
        </w:rPr>
        <w:t>第六章  投标文件格式</w:t>
      </w:r>
      <w:bookmarkEnd w:id="11"/>
    </w:p>
    <w:p>
      <w:pPr>
        <w:jc w:val="center"/>
        <w:rPr>
          <w:rStyle w:val="47"/>
          <w:rFonts w:hint="eastAsia" w:ascii="宋体" w:hAnsi="宋体" w:eastAsia="宋体" w:cs="宋体"/>
          <w:b/>
          <w:color w:val="auto"/>
          <w:sz w:val="72"/>
        </w:rPr>
      </w:pPr>
    </w:p>
    <w:p>
      <w:pPr>
        <w:jc w:val="center"/>
        <w:outlineLvl w:val="0"/>
        <w:rPr>
          <w:rStyle w:val="47"/>
          <w:rFonts w:hint="eastAsia" w:ascii="宋体" w:hAnsi="宋体" w:eastAsia="宋体" w:cs="宋体"/>
          <w:b/>
          <w:color w:val="auto"/>
          <w:sz w:val="72"/>
        </w:rPr>
      </w:pPr>
      <w:bookmarkStart w:id="12" w:name="_Toc26413"/>
      <w:r>
        <w:rPr>
          <w:rStyle w:val="47"/>
          <w:rFonts w:hint="eastAsia" w:ascii="宋体" w:hAnsi="宋体" w:eastAsia="宋体" w:cs="宋体"/>
          <w:b/>
          <w:color w:val="auto"/>
          <w:sz w:val="72"/>
        </w:rPr>
        <w:t>投  标  文  件</w:t>
      </w:r>
      <w:bookmarkEnd w:id="12"/>
    </w:p>
    <w:p>
      <w:pPr>
        <w:jc w:val="center"/>
        <w:outlineLvl w:val="0"/>
        <w:rPr>
          <w:rStyle w:val="47"/>
          <w:rFonts w:hint="eastAsia" w:ascii="宋体" w:hAnsi="宋体" w:eastAsia="宋体" w:cs="宋体"/>
          <w:b/>
          <w:color w:val="auto"/>
          <w:sz w:val="72"/>
        </w:rPr>
      </w:pPr>
      <w:bookmarkStart w:id="13" w:name="_Toc17655"/>
      <w:r>
        <w:rPr>
          <w:rStyle w:val="47"/>
          <w:rFonts w:hint="eastAsia" w:ascii="宋体" w:hAnsi="宋体" w:eastAsia="宋体" w:cs="宋体"/>
          <w:b/>
          <w:color w:val="auto"/>
          <w:sz w:val="36"/>
        </w:rPr>
        <w:t>（正或副本）</w:t>
      </w:r>
      <w:bookmarkEnd w:id="13"/>
    </w:p>
    <w:p>
      <w:pPr>
        <w:jc w:val="center"/>
        <w:rPr>
          <w:rStyle w:val="47"/>
          <w:rFonts w:hint="eastAsia" w:ascii="宋体" w:hAnsi="宋体" w:eastAsia="宋体" w:cs="宋体"/>
          <w:b/>
          <w:color w:val="auto"/>
          <w:sz w:val="72"/>
        </w:rPr>
      </w:pPr>
    </w:p>
    <w:p>
      <w:pPr>
        <w:jc w:val="center"/>
        <w:rPr>
          <w:rStyle w:val="47"/>
          <w:rFonts w:hint="eastAsia" w:ascii="宋体" w:hAnsi="宋体" w:eastAsia="宋体" w:cs="宋体"/>
          <w:b/>
          <w:color w:val="auto"/>
          <w:sz w:val="36"/>
        </w:rPr>
      </w:pPr>
    </w:p>
    <w:p>
      <w:pPr>
        <w:jc w:val="center"/>
        <w:rPr>
          <w:rStyle w:val="47"/>
          <w:rFonts w:hint="eastAsia" w:ascii="宋体" w:hAnsi="宋体" w:eastAsia="宋体" w:cs="宋体"/>
          <w:b/>
          <w:color w:val="auto"/>
          <w:sz w:val="36"/>
        </w:rPr>
      </w:pPr>
    </w:p>
    <w:p>
      <w:pPr>
        <w:jc w:val="center"/>
        <w:rPr>
          <w:rStyle w:val="47"/>
          <w:rFonts w:hint="eastAsia" w:ascii="宋体" w:hAnsi="宋体" w:eastAsia="宋体" w:cs="宋体"/>
          <w:b/>
          <w:color w:val="auto"/>
          <w:sz w:val="36"/>
        </w:rPr>
      </w:pPr>
    </w:p>
    <w:p>
      <w:pPr>
        <w:ind w:firstLine="1084" w:firstLineChars="300"/>
        <w:outlineLvl w:val="0"/>
        <w:rPr>
          <w:rStyle w:val="47"/>
          <w:rFonts w:hint="eastAsia" w:ascii="宋体" w:hAnsi="宋体" w:eastAsia="宋体" w:cs="宋体"/>
          <w:b/>
          <w:color w:val="auto"/>
          <w:sz w:val="36"/>
        </w:rPr>
      </w:pPr>
      <w:bookmarkStart w:id="14" w:name="_Toc8567"/>
      <w:r>
        <w:rPr>
          <w:rStyle w:val="47"/>
          <w:rFonts w:hint="eastAsia" w:ascii="宋体" w:hAnsi="宋体" w:eastAsia="宋体" w:cs="宋体"/>
          <w:b/>
          <w:color w:val="auto"/>
          <w:sz w:val="36"/>
        </w:rPr>
        <w:t>项 目 名 称：</w:t>
      </w:r>
      <w:bookmarkEnd w:id="14"/>
    </w:p>
    <w:p>
      <w:pPr>
        <w:ind w:firstLine="1084" w:firstLineChars="300"/>
        <w:outlineLvl w:val="0"/>
        <w:rPr>
          <w:rStyle w:val="47"/>
          <w:rFonts w:hint="eastAsia" w:ascii="宋体" w:hAnsi="宋体" w:eastAsia="宋体" w:cs="宋体"/>
          <w:b/>
          <w:color w:val="auto"/>
          <w:sz w:val="36"/>
          <w:u w:val="single" w:color="000000"/>
        </w:rPr>
      </w:pPr>
      <w:bookmarkStart w:id="15" w:name="_Toc20815"/>
      <w:r>
        <w:rPr>
          <w:rStyle w:val="47"/>
          <w:rFonts w:hint="eastAsia" w:ascii="宋体" w:hAnsi="宋体" w:eastAsia="宋体" w:cs="宋体"/>
          <w:b/>
          <w:color w:val="auto"/>
          <w:sz w:val="36"/>
        </w:rPr>
        <w:t>招 标 编 号：</w:t>
      </w:r>
      <w:bookmarkEnd w:id="15"/>
    </w:p>
    <w:p>
      <w:pPr>
        <w:ind w:firstLine="1084" w:firstLineChars="300"/>
        <w:outlineLvl w:val="0"/>
        <w:rPr>
          <w:rStyle w:val="47"/>
          <w:rFonts w:hint="eastAsia" w:ascii="宋体" w:hAnsi="宋体" w:eastAsia="宋体" w:cs="宋体"/>
          <w:b/>
          <w:color w:val="auto"/>
          <w:sz w:val="36"/>
          <w:u w:val="single" w:color="000000"/>
        </w:rPr>
      </w:pPr>
      <w:bookmarkStart w:id="16" w:name="_Toc15597"/>
      <w:r>
        <w:rPr>
          <w:rStyle w:val="47"/>
          <w:rFonts w:hint="eastAsia" w:ascii="宋体" w:hAnsi="宋体" w:eastAsia="宋体" w:cs="宋体"/>
          <w:b/>
          <w:color w:val="auto"/>
          <w:sz w:val="36"/>
        </w:rPr>
        <w:t>投标人名称 ：</w:t>
      </w:r>
      <w:bookmarkEnd w:id="16"/>
    </w:p>
    <w:p>
      <w:pPr>
        <w:ind w:firstLine="1084" w:firstLineChars="300"/>
        <w:outlineLvl w:val="0"/>
        <w:rPr>
          <w:rStyle w:val="47"/>
          <w:rFonts w:hint="eastAsia" w:ascii="宋体" w:hAnsi="宋体" w:eastAsia="宋体" w:cs="宋体"/>
          <w:b/>
          <w:color w:val="auto"/>
          <w:sz w:val="36"/>
        </w:rPr>
      </w:pPr>
      <w:bookmarkStart w:id="17" w:name="_Toc26387"/>
      <w:r>
        <w:rPr>
          <w:rStyle w:val="47"/>
          <w:rFonts w:hint="eastAsia" w:ascii="宋体" w:hAnsi="宋体" w:eastAsia="宋体" w:cs="宋体"/>
          <w:b/>
          <w:color w:val="auto"/>
          <w:sz w:val="36"/>
        </w:rPr>
        <w:t>日      期 ：</w:t>
      </w:r>
      <w:bookmarkEnd w:id="17"/>
    </w:p>
    <w:p>
      <w:pPr>
        <w:spacing w:line="440" w:lineRule="exact"/>
        <w:jc w:val="center"/>
        <w:rPr>
          <w:rStyle w:val="47"/>
          <w:rFonts w:hint="eastAsia" w:ascii="宋体" w:hAnsi="宋体" w:eastAsia="宋体" w:cs="宋体"/>
          <w:b/>
          <w:bCs/>
          <w:color w:val="auto"/>
          <w:sz w:val="32"/>
          <w:szCs w:val="32"/>
        </w:rPr>
      </w:pPr>
    </w:p>
    <w:p>
      <w:pPr>
        <w:spacing w:line="440" w:lineRule="exact"/>
        <w:ind w:firstLine="480" w:firstLineChars="200"/>
        <w:rPr>
          <w:rStyle w:val="47"/>
          <w:rFonts w:hint="eastAsia" w:ascii="宋体" w:hAnsi="宋体" w:eastAsia="宋体" w:cs="宋体"/>
          <w:color w:val="auto"/>
          <w:sz w:val="24"/>
        </w:rPr>
      </w:pPr>
    </w:p>
    <w:p>
      <w:pPr>
        <w:spacing w:line="440" w:lineRule="exact"/>
        <w:ind w:firstLine="480" w:firstLineChars="200"/>
        <w:rPr>
          <w:rStyle w:val="47"/>
          <w:rFonts w:hint="eastAsia" w:ascii="宋体" w:hAnsi="宋体" w:eastAsia="宋体" w:cs="宋体"/>
          <w:color w:val="auto"/>
          <w:sz w:val="24"/>
        </w:rPr>
      </w:pPr>
    </w:p>
    <w:p>
      <w:pPr>
        <w:spacing w:line="440" w:lineRule="exact"/>
        <w:rPr>
          <w:rStyle w:val="47"/>
          <w:rFonts w:hint="eastAsia" w:ascii="宋体" w:hAnsi="宋体" w:eastAsia="宋体" w:cs="宋体"/>
          <w:color w:val="auto"/>
          <w:sz w:val="24"/>
        </w:rPr>
      </w:pPr>
    </w:p>
    <w:p>
      <w:pPr>
        <w:pStyle w:val="9"/>
        <w:rPr>
          <w:rStyle w:val="47"/>
          <w:rFonts w:hint="eastAsia" w:ascii="宋体" w:hAnsi="宋体" w:eastAsia="宋体" w:cs="宋体"/>
          <w:b w:val="0"/>
          <w:color w:val="auto"/>
          <w:sz w:val="24"/>
          <w:szCs w:val="21"/>
        </w:rPr>
      </w:pPr>
    </w:p>
    <w:p>
      <w:pPr>
        <w:rPr>
          <w:rStyle w:val="47"/>
          <w:rFonts w:hint="eastAsia" w:ascii="宋体" w:hAnsi="宋体" w:eastAsia="宋体" w:cs="宋体"/>
          <w:color w:val="auto"/>
          <w:sz w:val="24"/>
        </w:rPr>
      </w:pPr>
    </w:p>
    <w:p>
      <w:pPr>
        <w:pStyle w:val="2"/>
        <w:rPr>
          <w:rFonts w:hint="eastAsia" w:ascii="宋体" w:hAnsi="宋体" w:eastAsia="宋体" w:cs="宋体"/>
          <w:color w:val="auto"/>
        </w:rPr>
      </w:pPr>
    </w:p>
    <w:p>
      <w:pPr>
        <w:rPr>
          <w:rStyle w:val="47"/>
          <w:rFonts w:hint="eastAsia" w:ascii="宋体" w:hAnsi="宋体" w:eastAsia="宋体" w:cs="宋体"/>
          <w:color w:val="auto"/>
          <w:sz w:val="24"/>
        </w:rPr>
      </w:pPr>
    </w:p>
    <w:p>
      <w:pPr>
        <w:spacing w:line="44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评分索引表</w:t>
      </w:r>
    </w:p>
    <w:p>
      <w:pPr>
        <w:spacing w:line="440" w:lineRule="exact"/>
        <w:jc w:val="center"/>
        <w:rPr>
          <w:rFonts w:hint="eastAsia" w:ascii="宋体" w:hAnsi="宋体" w:eastAsia="宋体" w:cs="宋体"/>
          <w:b/>
          <w:color w:val="auto"/>
          <w:sz w:val="30"/>
          <w:szCs w:val="30"/>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hint="eastAsia" w:ascii="宋体" w:hAnsi="宋体" w:eastAsia="宋体" w:cs="宋体"/>
                <w:b/>
                <w:bCs/>
                <w:color w:val="auto"/>
                <w:lang w:eastAsia="zh-CN"/>
              </w:rPr>
            </w:pPr>
            <w:r>
              <w:rPr>
                <w:rFonts w:hint="eastAsia" w:ascii="宋体" w:hAnsi="宋体" w:eastAsia="宋体" w:cs="宋体"/>
                <w:b/>
                <w:color w:val="auto"/>
              </w:rPr>
              <w:t>评分项目</w:t>
            </w:r>
          </w:p>
        </w:tc>
        <w:tc>
          <w:tcPr>
            <w:tcW w:w="3570" w:type="dxa"/>
            <w:noWrap/>
          </w:tcPr>
          <w:p>
            <w:pPr>
              <w:jc w:val="center"/>
              <w:rPr>
                <w:rFonts w:hint="eastAsia" w:ascii="宋体" w:hAnsi="宋体" w:eastAsia="宋体" w:cs="宋体"/>
                <w:b/>
                <w:color w:val="auto"/>
              </w:rPr>
            </w:pPr>
            <w:r>
              <w:rPr>
                <w:rFonts w:hint="eastAsia" w:ascii="宋体" w:hAnsi="宋体" w:eastAsia="宋体" w:cs="宋体"/>
                <w:b/>
                <w:color w:val="auto"/>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hint="eastAsia" w:ascii="宋体" w:hAnsi="宋体" w:eastAsia="宋体" w:cs="宋体"/>
                <w:b/>
                <w:color w:val="auto"/>
                <w:lang w:eastAsia="zh-CN"/>
              </w:rPr>
            </w:pPr>
          </w:p>
        </w:tc>
        <w:tc>
          <w:tcPr>
            <w:tcW w:w="3570" w:type="dxa"/>
            <w:noWrap/>
          </w:tcPr>
          <w:p>
            <w:pPr>
              <w:rPr>
                <w:rFonts w:hint="eastAsia" w:ascii="宋体" w:hAnsi="宋体" w:eastAsia="宋体" w:cs="宋体"/>
                <w:b/>
                <w:color w:val="auto"/>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hint="eastAsia" w:ascii="宋体" w:hAnsi="宋体" w:eastAsia="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hint="eastAsia" w:ascii="宋体" w:hAnsi="宋体" w:eastAsia="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hint="eastAsia" w:ascii="宋体" w:hAnsi="宋体" w:eastAsia="宋体" w:cs="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hint="eastAsia" w:ascii="宋体" w:hAnsi="宋体" w:eastAsia="宋体" w:cs="宋体"/>
                <w:b/>
                <w:bCs/>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hint="eastAsia" w:ascii="宋体" w:hAnsi="宋体" w:eastAsia="宋体" w:cs="宋体"/>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hint="eastAsia" w:ascii="宋体" w:hAnsi="宋体" w:eastAsia="宋体" w:cs="宋体"/>
                <w:b/>
                <w:bCs/>
                <w:color w:val="auto"/>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hint="eastAsia" w:ascii="宋体" w:hAnsi="宋体" w:eastAsia="宋体" w:cs="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hint="eastAsia" w:ascii="宋体" w:hAnsi="宋体" w:eastAsia="宋体" w:cs="宋体"/>
                <w:color w:val="auto"/>
                <w:szCs w:val="21"/>
                <w:lang w:eastAsia="zh-CN"/>
              </w:rPr>
            </w:pPr>
          </w:p>
        </w:tc>
        <w:tc>
          <w:tcPr>
            <w:tcW w:w="3570" w:type="dxa"/>
            <w:noWrap/>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hint="eastAsia" w:ascii="宋体" w:hAnsi="宋体" w:eastAsia="宋体" w:cs="宋体"/>
                <w:color w:val="auto"/>
                <w:lang w:eastAsia="zh-CN"/>
              </w:rPr>
            </w:pPr>
          </w:p>
        </w:tc>
        <w:tc>
          <w:tcPr>
            <w:tcW w:w="3570" w:type="dxa"/>
            <w:tcBorders>
              <w:bottom w:val="single" w:color="auto" w:sz="4" w:space="0"/>
            </w:tcBorders>
            <w:noWrap/>
          </w:tcPr>
          <w:p>
            <w:pPr>
              <w:rPr>
                <w:rFonts w:hint="eastAsia" w:ascii="宋体" w:hAnsi="宋体" w:eastAsia="宋体" w:cs="宋体"/>
                <w:color w:val="auto"/>
              </w:rPr>
            </w:pPr>
          </w:p>
        </w:tc>
      </w:tr>
    </w:tbl>
    <w:p>
      <w:pPr>
        <w:rPr>
          <w:rFonts w:hint="eastAsia" w:ascii="宋体" w:hAnsi="宋体" w:eastAsia="宋体" w:cs="宋体"/>
          <w:color w:val="auto"/>
        </w:rPr>
      </w:pPr>
    </w:p>
    <w:p>
      <w:pPr>
        <w:jc w:val="center"/>
        <w:outlineLvl w:val="0"/>
        <w:rPr>
          <w:rFonts w:hint="eastAsia" w:ascii="宋体" w:hAnsi="宋体" w:eastAsia="宋体" w:cs="宋体"/>
          <w:b/>
          <w:bCs/>
          <w:color w:val="auto"/>
          <w:sz w:val="32"/>
          <w:szCs w:val="32"/>
        </w:rPr>
      </w:pPr>
      <w:bookmarkStart w:id="18" w:name="_Toc16079"/>
    </w:p>
    <w:p>
      <w:pPr>
        <w:jc w:val="center"/>
        <w:outlineLvl w:val="0"/>
        <w:rPr>
          <w:rFonts w:hint="eastAsia" w:ascii="宋体" w:hAnsi="宋体" w:eastAsia="宋体" w:cs="宋体"/>
          <w:b/>
          <w:bCs/>
          <w:color w:val="auto"/>
          <w:sz w:val="32"/>
          <w:szCs w:val="32"/>
        </w:rPr>
      </w:pPr>
    </w:p>
    <w:p>
      <w:pPr>
        <w:jc w:val="center"/>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投标主要文件目录</w:t>
      </w:r>
      <w:bookmarkEnd w:id="18"/>
    </w:p>
    <w:p>
      <w:pPr>
        <w:spacing w:line="440" w:lineRule="exact"/>
        <w:jc w:val="center"/>
        <w:rPr>
          <w:rFonts w:hint="eastAsia" w:ascii="宋体" w:hAnsi="宋体" w:eastAsia="宋体" w:cs="宋体"/>
          <w:b/>
          <w:bCs/>
          <w:color w:val="auto"/>
          <w:sz w:val="32"/>
          <w:szCs w:val="32"/>
        </w:rPr>
      </w:pPr>
    </w:p>
    <w:p>
      <w:pPr>
        <w:ind w:firstLine="480" w:firstLineChars="200"/>
        <w:outlineLvl w:val="0"/>
        <w:rPr>
          <w:rFonts w:hint="eastAsia" w:ascii="宋体" w:hAnsi="宋体" w:eastAsia="宋体" w:cs="宋体"/>
          <w:color w:val="auto"/>
          <w:sz w:val="24"/>
        </w:rPr>
      </w:pPr>
      <w:bookmarkStart w:id="19" w:name="_Toc8971"/>
      <w:r>
        <w:rPr>
          <w:rFonts w:hint="eastAsia" w:ascii="宋体" w:hAnsi="宋体" w:eastAsia="宋体" w:cs="宋体"/>
          <w:color w:val="auto"/>
          <w:sz w:val="24"/>
        </w:rPr>
        <w:t>一、</w:t>
      </w:r>
      <w:r>
        <w:rPr>
          <w:rFonts w:hint="eastAsia" w:ascii="宋体" w:hAnsi="宋体" w:eastAsia="宋体" w:cs="宋体"/>
          <w:bCs/>
          <w:color w:val="auto"/>
          <w:sz w:val="24"/>
        </w:rPr>
        <w:t>资信证明文件要求</w:t>
      </w:r>
      <w:bookmarkEnd w:id="19"/>
    </w:p>
    <w:p>
      <w:pPr>
        <w:ind w:firstLine="482" w:firstLineChars="200"/>
        <w:outlineLvl w:val="0"/>
        <w:rPr>
          <w:rFonts w:hint="eastAsia" w:ascii="宋体" w:hAnsi="宋体" w:eastAsia="宋体" w:cs="宋体"/>
          <w:color w:val="auto"/>
          <w:sz w:val="24"/>
        </w:rPr>
      </w:pPr>
      <w:bookmarkStart w:id="20" w:name="_Toc400"/>
      <w:r>
        <w:rPr>
          <w:rFonts w:hint="eastAsia" w:ascii="宋体" w:hAnsi="宋体" w:eastAsia="宋体" w:cs="宋体"/>
          <w:b/>
          <w:bCs/>
          <w:color w:val="auto"/>
          <w:sz w:val="24"/>
        </w:rPr>
        <w:t>二</w:t>
      </w:r>
      <w:r>
        <w:rPr>
          <w:rFonts w:hint="eastAsia" w:ascii="宋体" w:hAnsi="宋体" w:eastAsia="宋体" w:cs="宋体"/>
          <w:color w:val="auto"/>
          <w:sz w:val="24"/>
        </w:rPr>
        <w:t>、资格性审查响应对照表</w:t>
      </w:r>
      <w:bookmarkEnd w:id="20"/>
    </w:p>
    <w:p>
      <w:pPr>
        <w:ind w:firstLine="480" w:firstLineChars="200"/>
        <w:outlineLvl w:val="0"/>
        <w:rPr>
          <w:rFonts w:hint="eastAsia" w:ascii="宋体" w:hAnsi="宋体" w:eastAsia="宋体" w:cs="宋体"/>
          <w:bCs/>
          <w:color w:val="auto"/>
          <w:sz w:val="24"/>
        </w:rPr>
      </w:pPr>
      <w:bookmarkStart w:id="21" w:name="_Toc17993"/>
      <w:r>
        <w:rPr>
          <w:rFonts w:hint="eastAsia" w:ascii="宋体" w:hAnsi="宋体" w:eastAsia="宋体" w:cs="宋体"/>
          <w:color w:val="auto"/>
          <w:sz w:val="24"/>
        </w:rPr>
        <w:t>三、符合性检查响应对照表</w:t>
      </w:r>
      <w:bookmarkEnd w:id="21"/>
    </w:p>
    <w:p>
      <w:pPr>
        <w:ind w:firstLine="480" w:firstLineChars="200"/>
        <w:outlineLvl w:val="0"/>
        <w:rPr>
          <w:rFonts w:hint="eastAsia" w:ascii="宋体" w:hAnsi="宋体" w:eastAsia="宋体" w:cs="宋体"/>
          <w:color w:val="auto"/>
          <w:sz w:val="24"/>
        </w:rPr>
      </w:pPr>
      <w:bookmarkStart w:id="22" w:name="_Toc4466"/>
      <w:r>
        <w:rPr>
          <w:rFonts w:hint="eastAsia" w:ascii="宋体" w:hAnsi="宋体" w:eastAsia="宋体" w:cs="宋体"/>
          <w:color w:val="auto"/>
          <w:sz w:val="24"/>
        </w:rPr>
        <w:t>四、投标函</w:t>
      </w:r>
      <w:bookmarkEnd w:id="22"/>
    </w:p>
    <w:p>
      <w:pPr>
        <w:ind w:firstLine="480" w:firstLineChars="200"/>
        <w:outlineLvl w:val="0"/>
        <w:rPr>
          <w:rFonts w:hint="eastAsia" w:ascii="宋体" w:hAnsi="宋体" w:eastAsia="宋体" w:cs="宋体"/>
          <w:color w:val="auto"/>
          <w:sz w:val="24"/>
        </w:rPr>
      </w:pPr>
      <w:bookmarkStart w:id="23" w:name="_Toc30056"/>
      <w:r>
        <w:rPr>
          <w:rFonts w:hint="eastAsia" w:ascii="宋体" w:hAnsi="宋体" w:eastAsia="宋体" w:cs="宋体"/>
          <w:color w:val="auto"/>
          <w:sz w:val="24"/>
        </w:rPr>
        <w:t>五</w:t>
      </w:r>
      <w:r>
        <w:rPr>
          <w:rFonts w:hint="eastAsia" w:ascii="宋体" w:hAnsi="宋体" w:eastAsia="宋体" w:cs="宋体"/>
          <w:b/>
          <w:bCs/>
          <w:color w:val="auto"/>
          <w:sz w:val="24"/>
        </w:rPr>
        <w:t>、</w:t>
      </w:r>
      <w:r>
        <w:rPr>
          <w:rFonts w:hint="eastAsia" w:ascii="宋体" w:hAnsi="宋体" w:eastAsia="宋体" w:cs="宋体"/>
          <w:color w:val="auto"/>
          <w:sz w:val="24"/>
        </w:rPr>
        <w:t>开标一览表</w:t>
      </w:r>
      <w:bookmarkEnd w:id="23"/>
    </w:p>
    <w:p>
      <w:pPr>
        <w:ind w:firstLine="480" w:firstLineChars="200"/>
        <w:outlineLvl w:val="0"/>
        <w:rPr>
          <w:rFonts w:hint="eastAsia" w:ascii="宋体" w:hAnsi="宋体" w:eastAsia="宋体" w:cs="宋体"/>
          <w:color w:val="auto"/>
          <w:sz w:val="24"/>
        </w:rPr>
      </w:pPr>
      <w:bookmarkStart w:id="24" w:name="_Toc1256"/>
      <w:r>
        <w:rPr>
          <w:rFonts w:hint="eastAsia" w:ascii="宋体" w:hAnsi="宋体" w:eastAsia="宋体" w:cs="宋体"/>
          <w:color w:val="auto"/>
          <w:sz w:val="24"/>
        </w:rPr>
        <w:t>六、投标配置与分项报价表</w:t>
      </w:r>
      <w:bookmarkEnd w:id="24"/>
    </w:p>
    <w:p>
      <w:pPr>
        <w:ind w:firstLine="480" w:firstLineChars="200"/>
        <w:outlineLvl w:val="0"/>
        <w:rPr>
          <w:rFonts w:hint="eastAsia" w:ascii="宋体" w:hAnsi="宋体" w:eastAsia="宋体" w:cs="宋体"/>
          <w:color w:val="auto"/>
          <w:sz w:val="24"/>
        </w:rPr>
      </w:pPr>
      <w:bookmarkStart w:id="25" w:name="_Toc16688"/>
      <w:r>
        <w:rPr>
          <w:rFonts w:hint="eastAsia" w:ascii="宋体" w:hAnsi="宋体" w:eastAsia="宋体" w:cs="宋体"/>
          <w:color w:val="auto"/>
          <w:sz w:val="24"/>
        </w:rPr>
        <w:t>七</w:t>
      </w:r>
      <w:r>
        <w:rPr>
          <w:rFonts w:hint="eastAsia" w:ascii="宋体" w:hAnsi="宋体" w:eastAsia="宋体" w:cs="宋体"/>
          <w:color w:val="auto"/>
          <w:sz w:val="24"/>
          <w:szCs w:val="24"/>
        </w:rPr>
        <w:t>、技术参数响应及偏离表</w:t>
      </w:r>
      <w:bookmarkEnd w:id="25"/>
    </w:p>
    <w:p>
      <w:pPr>
        <w:ind w:firstLine="480" w:firstLineChars="200"/>
        <w:outlineLvl w:val="0"/>
        <w:rPr>
          <w:rFonts w:hint="eastAsia" w:ascii="宋体" w:hAnsi="宋体" w:eastAsia="宋体" w:cs="宋体"/>
          <w:color w:val="auto"/>
          <w:sz w:val="24"/>
        </w:rPr>
      </w:pPr>
      <w:bookmarkStart w:id="26" w:name="_Toc13614"/>
      <w:r>
        <w:rPr>
          <w:rFonts w:hint="eastAsia" w:ascii="宋体" w:hAnsi="宋体" w:eastAsia="宋体" w:cs="宋体"/>
          <w:color w:val="auto"/>
          <w:sz w:val="24"/>
        </w:rPr>
        <w:t>八、商务条款响应及偏离表</w:t>
      </w:r>
      <w:bookmarkEnd w:id="26"/>
    </w:p>
    <w:p>
      <w:pPr>
        <w:ind w:firstLine="480" w:firstLineChars="200"/>
        <w:outlineLvl w:val="0"/>
        <w:rPr>
          <w:rFonts w:hint="eastAsia" w:ascii="宋体" w:hAnsi="宋体" w:eastAsia="宋体" w:cs="宋体"/>
          <w:color w:val="auto"/>
          <w:sz w:val="24"/>
        </w:rPr>
      </w:pPr>
      <w:bookmarkStart w:id="27" w:name="_Toc25377"/>
      <w:r>
        <w:rPr>
          <w:rFonts w:hint="eastAsia" w:ascii="宋体" w:hAnsi="宋体" w:eastAsia="宋体" w:cs="宋体"/>
          <w:color w:val="auto"/>
          <w:sz w:val="24"/>
        </w:rPr>
        <w:t>九、技术方案、服务承诺、培训承诺等</w:t>
      </w:r>
      <w:bookmarkEnd w:id="27"/>
    </w:p>
    <w:p>
      <w:pPr>
        <w:ind w:firstLine="480" w:firstLineChars="200"/>
        <w:outlineLvl w:val="0"/>
        <w:rPr>
          <w:rFonts w:hint="eastAsia" w:ascii="宋体" w:hAnsi="宋体" w:eastAsia="宋体" w:cs="宋体"/>
          <w:color w:val="auto"/>
        </w:rPr>
      </w:pPr>
      <w:bookmarkStart w:id="28" w:name="_Toc28209"/>
      <w:r>
        <w:rPr>
          <w:rFonts w:hint="eastAsia" w:ascii="宋体" w:hAnsi="宋体" w:eastAsia="宋体" w:cs="宋体"/>
          <w:color w:val="auto"/>
          <w:sz w:val="24"/>
          <w:szCs w:val="24"/>
        </w:rPr>
        <w:t>十、中小企业声明函</w:t>
      </w:r>
      <w:bookmarkEnd w:id="28"/>
    </w:p>
    <w:p>
      <w:pPr>
        <w:spacing w:line="440" w:lineRule="exact"/>
        <w:ind w:firstLine="480" w:firstLineChars="200"/>
        <w:outlineLvl w:val="0"/>
        <w:rPr>
          <w:rFonts w:hint="eastAsia" w:ascii="宋体" w:hAnsi="宋体" w:eastAsia="宋体" w:cs="宋体"/>
          <w:color w:val="auto"/>
          <w:sz w:val="24"/>
        </w:rPr>
      </w:pPr>
      <w:bookmarkStart w:id="29" w:name="_Toc13879"/>
      <w:r>
        <w:rPr>
          <w:rFonts w:hint="eastAsia" w:ascii="宋体" w:hAnsi="宋体" w:eastAsia="宋体" w:cs="宋体"/>
          <w:color w:val="auto"/>
          <w:sz w:val="24"/>
        </w:rPr>
        <w:t>十一、盐城市政府采购事前信用承诺书</w:t>
      </w:r>
      <w:bookmarkEnd w:id="29"/>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p>
    <w:p>
      <w:pPr>
        <w:snapToGrid w:val="0"/>
        <w:spacing w:before="50" w:after="50"/>
        <w:jc w:val="center"/>
        <w:outlineLvl w:val="0"/>
        <w:rPr>
          <w:rFonts w:hint="eastAsia" w:ascii="宋体" w:hAnsi="宋体" w:eastAsia="宋体" w:cs="宋体"/>
          <w:b/>
          <w:bCs/>
          <w:color w:val="auto"/>
          <w:sz w:val="32"/>
          <w:szCs w:val="32"/>
        </w:rPr>
      </w:pPr>
      <w:bookmarkStart w:id="30" w:name="_Toc27319"/>
      <w:r>
        <w:rPr>
          <w:rFonts w:hint="eastAsia" w:ascii="宋体" w:hAnsi="宋体" w:eastAsia="宋体" w:cs="宋体"/>
          <w:color w:val="auto"/>
          <w:sz w:val="32"/>
          <w:szCs w:val="32"/>
        </w:rPr>
        <w:t>一、</w:t>
      </w:r>
      <w:r>
        <w:rPr>
          <w:rFonts w:hint="eastAsia" w:ascii="宋体" w:hAnsi="宋体" w:eastAsia="宋体" w:cs="宋体"/>
          <w:b/>
          <w:bCs/>
          <w:color w:val="auto"/>
          <w:sz w:val="32"/>
          <w:szCs w:val="32"/>
        </w:rPr>
        <w:t>资信证明文件要求</w:t>
      </w:r>
      <w:bookmarkEnd w:id="30"/>
    </w:p>
    <w:p>
      <w:pPr>
        <w:snapToGrid w:val="0"/>
        <w:spacing w:before="50" w:after="50"/>
        <w:rPr>
          <w:rFonts w:hint="eastAsia" w:ascii="宋体" w:hAnsi="宋体" w:eastAsia="宋体" w:cs="宋体"/>
          <w:i/>
          <w:color w:val="auto"/>
          <w:szCs w:val="24"/>
          <w:u w:val="single"/>
        </w:rPr>
      </w:pPr>
    </w:p>
    <w:p>
      <w:pPr>
        <w:snapToGrid w:val="0"/>
        <w:spacing w:line="500" w:lineRule="exact"/>
        <w:ind w:firstLine="482" w:firstLineChars="200"/>
        <w:rPr>
          <w:rFonts w:hint="eastAsia" w:ascii="宋体" w:hAnsi="宋体" w:eastAsia="宋体" w:cs="宋体"/>
          <w:color w:val="auto"/>
          <w:sz w:val="24"/>
          <w:szCs w:val="20"/>
        </w:rPr>
      </w:pPr>
      <w:r>
        <w:rPr>
          <w:rFonts w:hint="eastAsia" w:ascii="宋体" w:hAnsi="宋体" w:eastAsia="宋体" w:cs="宋体"/>
          <w:b/>
          <w:bCs/>
          <w:color w:val="auto"/>
          <w:sz w:val="24"/>
        </w:rPr>
        <w:t>1、实质性资格证明文件目录</w:t>
      </w:r>
    </w:p>
    <w:p>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文件2 上一年度财务状况报表（复印件，成立不满一年不需提供）</w:t>
      </w:r>
    </w:p>
    <w:p>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文件3 依法缴纳税收和社会保障资金的相关材料（复印件）</w:t>
      </w:r>
    </w:p>
    <w:p>
      <w:pPr>
        <w:snapToGri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文件4 具备履行合同所必需的设备和专业技术能力的书面声明</w:t>
      </w:r>
    </w:p>
    <w:p>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文件6 法人授权书</w:t>
      </w:r>
    </w:p>
    <w:p>
      <w:pPr>
        <w:snapToGri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2、非实质性资信证明文件目录</w:t>
      </w:r>
    </w:p>
    <w:p>
      <w:pPr>
        <w:snapToGri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格式1 《企业申明函》</w:t>
      </w: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39"/>
        <w:spacing w:line="240" w:lineRule="atLeast"/>
        <w:rPr>
          <w:rStyle w:val="47"/>
          <w:rFonts w:hint="eastAsia" w:ascii="宋体" w:hAnsi="宋体" w:eastAsia="宋体" w:cs="宋体"/>
          <w:color w:val="auto"/>
          <w:sz w:val="24"/>
          <w:szCs w:val="24"/>
        </w:rPr>
      </w:pPr>
    </w:p>
    <w:p>
      <w:pPr>
        <w:pStyle w:val="7"/>
        <w:jc w:val="center"/>
        <w:rPr>
          <w:rFonts w:hint="eastAsia" w:ascii="宋体" w:hAnsi="宋体" w:eastAsia="宋体" w:cs="宋体"/>
          <w:color w:val="auto"/>
        </w:rPr>
      </w:pPr>
    </w:p>
    <w:p>
      <w:pPr>
        <w:pStyle w:val="7"/>
        <w:jc w:val="center"/>
        <w:rPr>
          <w:rFonts w:hint="eastAsia" w:ascii="宋体" w:hAnsi="宋体" w:eastAsia="宋体" w:cs="宋体"/>
          <w:b w:val="0"/>
          <w:bCs w:val="0"/>
          <w:color w:val="auto"/>
        </w:rPr>
      </w:pPr>
      <w:r>
        <w:rPr>
          <w:rFonts w:hint="eastAsia" w:ascii="宋体" w:hAnsi="宋体" w:eastAsia="宋体" w:cs="宋体"/>
          <w:color w:val="auto"/>
        </w:rPr>
        <w:t>具备履行合同所必需的设备和专业技术能力的书面声明</w:t>
      </w:r>
    </w:p>
    <w:p>
      <w:pPr>
        <w:spacing w:line="460" w:lineRule="exact"/>
        <w:ind w:firstLine="492"/>
        <w:rPr>
          <w:rFonts w:hint="eastAsia" w:ascii="宋体" w:hAnsi="宋体" w:eastAsia="宋体" w:cs="宋体"/>
          <w:bCs/>
          <w:color w:val="auto"/>
          <w:sz w:val="24"/>
          <w:szCs w:val="24"/>
        </w:rPr>
      </w:pPr>
    </w:p>
    <w:p>
      <w:pPr>
        <w:spacing w:line="460" w:lineRule="exact"/>
        <w:ind w:firstLine="492"/>
        <w:rPr>
          <w:rFonts w:hint="eastAsia" w:ascii="宋体" w:hAnsi="宋体" w:eastAsia="宋体" w:cs="宋体"/>
          <w:bCs/>
          <w:color w:val="auto"/>
          <w:sz w:val="24"/>
          <w:szCs w:val="24"/>
        </w:rPr>
      </w:pPr>
      <w:r>
        <w:rPr>
          <w:rFonts w:hint="eastAsia" w:ascii="宋体" w:hAnsi="宋体" w:eastAsia="宋体" w:cs="宋体"/>
          <w:bCs/>
          <w:color w:val="auto"/>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color w:val="auto"/>
          <w:sz w:val="24"/>
          <w:szCs w:val="24"/>
        </w:rPr>
      </w:pPr>
      <w:r>
        <w:rPr>
          <w:rFonts w:hint="eastAsia" w:ascii="宋体" w:hAnsi="宋体" w:eastAsia="宋体" w:cs="宋体"/>
          <w:bCs/>
          <w:color w:val="auto"/>
          <w:sz w:val="24"/>
          <w:szCs w:val="24"/>
        </w:rPr>
        <w:t>主要设备有：。</w:t>
      </w:r>
    </w:p>
    <w:p>
      <w:pPr>
        <w:spacing w:line="460" w:lineRule="exact"/>
        <w:ind w:firstLine="492"/>
        <w:rPr>
          <w:rFonts w:hint="eastAsia" w:ascii="宋体" w:hAnsi="宋体" w:eastAsia="宋体" w:cs="宋体"/>
          <w:bCs/>
          <w:color w:val="auto"/>
          <w:sz w:val="24"/>
          <w:szCs w:val="24"/>
        </w:rPr>
      </w:pPr>
      <w:r>
        <w:rPr>
          <w:rFonts w:hint="eastAsia" w:ascii="宋体" w:hAnsi="宋体" w:eastAsia="宋体" w:cs="宋体"/>
          <w:bCs/>
          <w:color w:val="auto"/>
          <w:sz w:val="24"/>
          <w:szCs w:val="24"/>
        </w:rPr>
        <w:t>主要专业技术能力有：。</w:t>
      </w:r>
    </w:p>
    <w:p>
      <w:pPr>
        <w:spacing w:line="460" w:lineRule="exact"/>
        <w:ind w:firstLine="492"/>
        <w:rPr>
          <w:rFonts w:hint="eastAsia" w:ascii="宋体" w:hAnsi="宋体" w:eastAsia="宋体" w:cs="宋体"/>
          <w:bCs/>
          <w:color w:val="auto"/>
          <w:sz w:val="24"/>
          <w:szCs w:val="24"/>
        </w:rPr>
      </w:pPr>
    </w:p>
    <w:p>
      <w:pPr>
        <w:spacing w:line="460" w:lineRule="exact"/>
        <w:ind w:firstLine="492"/>
        <w:rPr>
          <w:rFonts w:hint="eastAsia" w:ascii="宋体" w:hAnsi="宋体" w:eastAsia="宋体" w:cs="宋体"/>
          <w:bCs/>
          <w:color w:val="auto"/>
          <w:sz w:val="24"/>
          <w:szCs w:val="24"/>
        </w:rPr>
      </w:pPr>
    </w:p>
    <w:p>
      <w:pPr>
        <w:spacing w:line="460" w:lineRule="exact"/>
        <w:ind w:firstLine="492"/>
        <w:rPr>
          <w:rFonts w:hint="eastAsia" w:ascii="宋体" w:hAnsi="宋体" w:eastAsia="宋体" w:cs="宋体"/>
          <w:bCs/>
          <w:color w:val="auto"/>
          <w:sz w:val="24"/>
          <w:szCs w:val="24"/>
        </w:rPr>
      </w:pPr>
    </w:p>
    <w:p>
      <w:pPr>
        <w:spacing w:line="4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供应商名称（公章）：</w:t>
      </w:r>
    </w:p>
    <w:p>
      <w:pPr>
        <w:spacing w:line="460" w:lineRule="exact"/>
        <w:rPr>
          <w:rFonts w:hint="eastAsia" w:ascii="宋体" w:hAnsi="宋体" w:eastAsia="宋体" w:cs="宋体"/>
          <w:bCs/>
          <w:color w:val="auto"/>
          <w:sz w:val="24"/>
          <w:szCs w:val="24"/>
        </w:rPr>
      </w:pPr>
    </w:p>
    <w:p>
      <w:pPr>
        <w:spacing w:line="460" w:lineRule="exact"/>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日期：</w:t>
      </w:r>
      <w:r>
        <w:rPr>
          <w:rFonts w:hint="eastAsia" w:ascii="宋体" w:hAnsi="宋体" w:eastAsia="宋体" w:cs="宋体"/>
          <w:bCs/>
          <w:color w:val="auto"/>
          <w:sz w:val="24"/>
          <w:szCs w:val="24"/>
          <w:u w:val="single"/>
        </w:rPr>
        <w:t xml:space="preserve">    年    月    日</w:t>
      </w:r>
    </w:p>
    <w:p>
      <w:pPr>
        <w:pStyle w:val="7"/>
        <w:jc w:val="center"/>
        <w:rPr>
          <w:rFonts w:hint="eastAsia" w:ascii="宋体" w:hAnsi="宋体" w:eastAsia="宋体" w:cs="宋体"/>
          <w:color w:val="auto"/>
        </w:rPr>
      </w:pPr>
      <w:r>
        <w:rPr>
          <w:rFonts w:hint="eastAsia" w:ascii="宋体" w:hAnsi="宋体" w:eastAsia="宋体" w:cs="宋体"/>
          <w:color w:val="auto"/>
        </w:rPr>
        <w:br w:type="page"/>
      </w:r>
    </w:p>
    <w:p>
      <w:pPr>
        <w:pStyle w:val="7"/>
        <w:jc w:val="center"/>
        <w:rPr>
          <w:rFonts w:hint="eastAsia" w:ascii="宋体" w:hAnsi="宋体" w:eastAsia="宋体" w:cs="宋体"/>
          <w:color w:val="auto"/>
        </w:rPr>
      </w:pPr>
    </w:p>
    <w:p>
      <w:pPr>
        <w:pStyle w:val="7"/>
        <w:jc w:val="center"/>
        <w:rPr>
          <w:rFonts w:hint="eastAsia" w:ascii="宋体" w:hAnsi="宋体" w:eastAsia="宋体" w:cs="宋体"/>
          <w:color w:val="auto"/>
        </w:rPr>
      </w:pPr>
    </w:p>
    <w:p>
      <w:pPr>
        <w:pStyle w:val="7"/>
        <w:jc w:val="center"/>
        <w:rPr>
          <w:rFonts w:hint="eastAsia" w:ascii="宋体" w:hAnsi="宋体" w:eastAsia="宋体" w:cs="宋体"/>
          <w:color w:val="auto"/>
        </w:rPr>
      </w:pPr>
      <w:r>
        <w:rPr>
          <w:rFonts w:hint="eastAsia" w:ascii="宋体" w:hAnsi="宋体" w:eastAsia="宋体" w:cs="宋体"/>
          <w:color w:val="auto"/>
        </w:rPr>
        <w:t>参加政府采购活动前 3 年内在经营活动中没有重大违法记录的书面声明</w:t>
      </w:r>
    </w:p>
    <w:p>
      <w:pPr>
        <w:spacing w:line="460" w:lineRule="exact"/>
        <w:rPr>
          <w:rFonts w:hint="eastAsia" w:ascii="宋体" w:hAnsi="宋体" w:eastAsia="宋体" w:cs="宋体"/>
          <w:b/>
          <w:bCs/>
          <w:color w:val="auto"/>
          <w:sz w:val="28"/>
          <w:szCs w:val="28"/>
        </w:rPr>
      </w:pPr>
    </w:p>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声  明</w:t>
      </w:r>
    </w:p>
    <w:p>
      <w:pPr>
        <w:spacing w:line="4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eastAsia="宋体" w:cs="宋体"/>
          <w:bCs/>
          <w:color w:val="auto"/>
          <w:sz w:val="24"/>
          <w:szCs w:val="24"/>
        </w:rPr>
      </w:pPr>
    </w:p>
    <w:p>
      <w:pPr>
        <w:spacing w:line="460" w:lineRule="exact"/>
        <w:ind w:firstLine="3120" w:firstLineChars="1300"/>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供应商名称（公章）：</w:t>
      </w:r>
    </w:p>
    <w:p>
      <w:pPr>
        <w:spacing w:line="460" w:lineRule="exact"/>
        <w:ind w:firstLine="3120" w:firstLineChars="1300"/>
        <w:rPr>
          <w:rFonts w:hint="eastAsia" w:ascii="宋体" w:hAnsi="宋体" w:eastAsia="宋体" w:cs="宋体"/>
          <w:bCs/>
          <w:color w:val="auto"/>
          <w:sz w:val="24"/>
          <w:szCs w:val="24"/>
        </w:rPr>
      </w:pPr>
      <w:r>
        <w:rPr>
          <w:rFonts w:hint="eastAsia" w:ascii="宋体" w:hAnsi="宋体" w:eastAsia="宋体" w:cs="宋体"/>
          <w:bCs/>
          <w:color w:val="auto"/>
          <w:sz w:val="24"/>
          <w:szCs w:val="24"/>
        </w:rPr>
        <w:t>授权代表签字：</w:t>
      </w:r>
    </w:p>
    <w:p>
      <w:pPr>
        <w:spacing w:line="4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日期：</w:t>
      </w:r>
      <w:r>
        <w:rPr>
          <w:rFonts w:hint="eastAsia" w:ascii="宋体" w:hAnsi="宋体" w:eastAsia="宋体" w:cs="宋体"/>
          <w:bCs/>
          <w:color w:val="auto"/>
          <w:sz w:val="24"/>
          <w:szCs w:val="24"/>
          <w:u w:val="single"/>
        </w:rPr>
        <w:t xml:space="preserve">           年    月    日</w:t>
      </w:r>
    </w:p>
    <w:p>
      <w:pPr>
        <w:spacing w:line="460" w:lineRule="exact"/>
        <w:rPr>
          <w:rFonts w:hint="eastAsia" w:ascii="宋体" w:hAnsi="宋体" w:eastAsia="宋体" w:cs="宋体"/>
          <w:bCs/>
          <w:color w:val="auto"/>
          <w:sz w:val="28"/>
          <w:szCs w:val="28"/>
        </w:rPr>
      </w:pPr>
    </w:p>
    <w:p>
      <w:pPr>
        <w:spacing w:line="460" w:lineRule="exact"/>
        <w:rPr>
          <w:rFonts w:hint="eastAsia" w:ascii="宋体" w:hAnsi="宋体" w:eastAsia="宋体" w:cs="宋体"/>
          <w:bCs/>
          <w:color w:val="auto"/>
          <w:sz w:val="28"/>
          <w:szCs w:val="28"/>
        </w:rPr>
      </w:pPr>
    </w:p>
    <w:p>
      <w:pPr>
        <w:spacing w:line="460" w:lineRule="exact"/>
        <w:rPr>
          <w:rFonts w:hint="eastAsia" w:ascii="宋体" w:hAnsi="宋体" w:eastAsia="宋体" w:cs="宋体"/>
          <w:bCs/>
          <w:color w:val="auto"/>
          <w:sz w:val="28"/>
          <w:szCs w:val="28"/>
        </w:rPr>
      </w:pPr>
    </w:p>
    <w:p>
      <w:pPr>
        <w:spacing w:line="460" w:lineRule="exact"/>
        <w:rPr>
          <w:rFonts w:hint="eastAsia" w:ascii="宋体" w:hAnsi="宋体" w:eastAsia="宋体" w:cs="宋体"/>
          <w:bCs/>
          <w:color w:val="auto"/>
          <w:sz w:val="28"/>
          <w:szCs w:val="28"/>
        </w:rPr>
      </w:pPr>
    </w:p>
    <w:p>
      <w:pPr>
        <w:spacing w:line="460" w:lineRule="exact"/>
        <w:rPr>
          <w:rFonts w:hint="eastAsia" w:ascii="宋体" w:hAnsi="宋体" w:eastAsia="宋体" w:cs="宋体"/>
          <w:bCs/>
          <w:color w:val="auto"/>
          <w:sz w:val="28"/>
          <w:szCs w:val="28"/>
        </w:rPr>
      </w:pPr>
    </w:p>
    <w:p>
      <w:pPr>
        <w:spacing w:line="460" w:lineRule="exact"/>
        <w:rPr>
          <w:rFonts w:hint="eastAsia" w:ascii="宋体" w:hAnsi="宋体" w:eastAsia="宋体" w:cs="宋体"/>
          <w:bCs/>
          <w:color w:val="auto"/>
          <w:sz w:val="28"/>
          <w:szCs w:val="28"/>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pStyle w:val="7"/>
        <w:jc w:val="center"/>
        <w:rPr>
          <w:rFonts w:hint="eastAsia" w:ascii="宋体" w:hAnsi="宋体" w:eastAsia="宋体" w:cs="宋体"/>
          <w:color w:val="auto"/>
        </w:rPr>
      </w:pPr>
    </w:p>
    <w:p>
      <w:pPr>
        <w:pStyle w:val="7"/>
        <w:jc w:val="center"/>
        <w:rPr>
          <w:rFonts w:hint="eastAsia" w:ascii="宋体" w:hAnsi="宋体" w:eastAsia="宋体" w:cs="宋体"/>
          <w:color w:val="auto"/>
        </w:rPr>
      </w:pPr>
    </w:p>
    <w:p>
      <w:pPr>
        <w:pStyle w:val="7"/>
        <w:jc w:val="center"/>
        <w:rPr>
          <w:rFonts w:hint="eastAsia" w:ascii="宋体" w:hAnsi="宋体" w:eastAsia="宋体" w:cs="宋体"/>
          <w:color w:val="auto"/>
        </w:rPr>
      </w:pPr>
    </w:p>
    <w:p>
      <w:pPr>
        <w:pStyle w:val="7"/>
        <w:jc w:val="center"/>
        <w:rPr>
          <w:rFonts w:hint="eastAsia" w:ascii="宋体" w:hAnsi="宋体" w:eastAsia="宋体" w:cs="宋体"/>
          <w:color w:val="auto"/>
        </w:rPr>
      </w:pPr>
      <w:r>
        <w:rPr>
          <w:rFonts w:hint="eastAsia" w:ascii="宋体" w:hAnsi="宋体" w:eastAsia="宋体" w:cs="宋体"/>
          <w:color w:val="auto"/>
        </w:rPr>
        <w:t>法人授权书</w:t>
      </w:r>
    </w:p>
    <w:p>
      <w:pPr>
        <w:pStyle w:val="166"/>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本授权书声明：____________（供应商名称）授权________________（被授权人的姓名）为我方就</w:t>
      </w:r>
      <w:r>
        <w:rPr>
          <w:rFonts w:hint="eastAsia" w:ascii="宋体" w:hAnsi="宋体" w:eastAsia="宋体" w:cs="宋体"/>
          <w:color w:val="auto"/>
          <w:sz w:val="24"/>
          <w:szCs w:val="24"/>
          <w:u w:val="single"/>
        </w:rPr>
        <w:t>2022-0Q</w:t>
      </w:r>
      <w:r>
        <w:rPr>
          <w:rFonts w:hint="eastAsia" w:ascii="宋体" w:hAnsi="宋体" w:eastAsia="宋体" w:cs="宋体"/>
          <w:color w:val="auto"/>
          <w:sz w:val="24"/>
          <w:szCs w:val="24"/>
        </w:rPr>
        <w:t>号项目采购活动的合法代理人，以本公司名义全权处理一切与该项目采购有关的事务。</w:t>
      </w:r>
    </w:p>
    <w:p>
      <w:pPr>
        <w:pStyle w:val="166"/>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本授权书于______年____月____日起生效，特此声明。</w:t>
      </w:r>
    </w:p>
    <w:p>
      <w:pPr>
        <w:pStyle w:val="166"/>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代理人（被授权人）：_______________________</w:t>
      </w:r>
    </w:p>
    <w:p>
      <w:pPr>
        <w:pStyle w:val="166"/>
        <w:ind w:firstLine="0" w:firstLineChars="0"/>
        <w:rPr>
          <w:rFonts w:hint="eastAsia" w:ascii="宋体" w:hAnsi="宋体" w:eastAsia="宋体" w:cs="宋体"/>
          <w:color w:val="auto"/>
          <w:sz w:val="24"/>
          <w:szCs w:val="24"/>
        </w:rPr>
      </w:pPr>
    </w:p>
    <w:p>
      <w:pPr>
        <w:pStyle w:val="166"/>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单位名称：_____________________________________</w:t>
      </w:r>
    </w:p>
    <w:p>
      <w:pPr>
        <w:pStyle w:val="166"/>
        <w:ind w:firstLine="480"/>
        <w:rPr>
          <w:rFonts w:hint="eastAsia" w:ascii="宋体" w:hAnsi="宋体" w:eastAsia="宋体" w:cs="宋体"/>
          <w:color w:val="auto"/>
          <w:sz w:val="24"/>
          <w:szCs w:val="24"/>
        </w:rPr>
      </w:pPr>
    </w:p>
    <w:p>
      <w:pPr>
        <w:pStyle w:val="166"/>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授权单位盖章：_________________________________</w:t>
      </w:r>
    </w:p>
    <w:p>
      <w:pPr>
        <w:pStyle w:val="166"/>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单位名称：_____________________________________</w:t>
      </w:r>
    </w:p>
    <w:p>
      <w:pPr>
        <w:pStyle w:val="166"/>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地址：</w:t>
      </w:r>
    </w:p>
    <w:p>
      <w:pPr>
        <w:pStyle w:val="166"/>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w:t>
      </w:r>
    </w:p>
    <w:p>
      <w:pPr>
        <w:pStyle w:val="7"/>
        <w:rPr>
          <w:rFonts w:hint="eastAsia" w:ascii="宋体" w:hAnsi="宋体" w:eastAsia="宋体" w:cs="宋体"/>
          <w:color w:val="auto"/>
          <w:sz w:val="24"/>
          <w:szCs w:val="24"/>
        </w:rPr>
      </w:pPr>
      <w:bookmarkStart w:id="31" w:name="_Hlt26671380"/>
      <w:bookmarkEnd w:id="31"/>
      <w:bookmarkStart w:id="32" w:name="_Hlt26955070"/>
      <w:bookmarkEnd w:id="32"/>
      <w:bookmarkStart w:id="33" w:name="_格式3__银行出具的资信证明"/>
      <w:bookmarkEnd w:id="33"/>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spacing w:line="460" w:lineRule="exact"/>
        <w:rPr>
          <w:rFonts w:hint="eastAsia" w:ascii="宋体" w:hAnsi="宋体" w:eastAsia="宋体" w:cs="宋体"/>
          <w:bCs/>
          <w:color w:val="auto"/>
          <w:sz w:val="24"/>
        </w:rPr>
      </w:pPr>
    </w:p>
    <w:p>
      <w:pPr>
        <w:spacing w:line="460" w:lineRule="exact"/>
        <w:rPr>
          <w:rFonts w:hint="eastAsia" w:ascii="宋体" w:hAnsi="宋体" w:eastAsia="宋体" w:cs="宋体"/>
          <w:bCs/>
          <w:color w:val="auto"/>
          <w:sz w:val="24"/>
        </w:rPr>
      </w:pPr>
    </w:p>
    <w:p>
      <w:pPr>
        <w:spacing w:line="560" w:lineRule="exact"/>
        <w:rPr>
          <w:rFonts w:hint="eastAsia" w:ascii="宋体" w:hAnsi="宋体" w:eastAsia="宋体" w:cs="宋体"/>
          <w:bCs/>
          <w:color w:val="auto"/>
          <w:sz w:val="24"/>
        </w:rPr>
      </w:pPr>
    </w:p>
    <w:p>
      <w:pPr>
        <w:snapToGrid w:val="0"/>
        <w:spacing w:before="50" w:after="50"/>
        <w:jc w:val="center"/>
        <w:outlineLvl w:val="0"/>
        <w:rPr>
          <w:rFonts w:hint="eastAsia" w:ascii="宋体" w:hAnsi="宋体" w:eastAsia="宋体" w:cs="宋体"/>
          <w:color w:val="auto"/>
          <w:sz w:val="32"/>
          <w:szCs w:val="32"/>
        </w:rPr>
      </w:pPr>
      <w:bookmarkStart w:id="34" w:name="_Toc3822"/>
      <w:r>
        <w:rPr>
          <w:rFonts w:hint="eastAsia" w:ascii="宋体" w:hAnsi="宋体" w:eastAsia="宋体" w:cs="宋体"/>
          <w:color w:val="auto"/>
          <w:sz w:val="32"/>
          <w:szCs w:val="32"/>
        </w:rPr>
        <w:t>二、资格性审查响应对照表（格式）</w:t>
      </w:r>
      <w:bookmarkEnd w:id="34"/>
    </w:p>
    <w:p>
      <w:pPr>
        <w:ind w:firstLine="309"/>
        <w:rPr>
          <w:rFonts w:hint="eastAsia" w:ascii="宋体" w:hAnsi="宋体" w:eastAsia="宋体" w:cs="宋体"/>
          <w:color w:val="auto"/>
          <w:sz w:val="24"/>
          <w:szCs w:val="24"/>
        </w:rPr>
      </w:pPr>
      <w:r>
        <w:rPr>
          <w:rFonts w:hint="eastAsia" w:ascii="宋体" w:hAnsi="宋体" w:eastAsia="宋体" w:cs="宋体"/>
          <w:color w:val="auto"/>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序号</w:t>
            </w:r>
          </w:p>
        </w:tc>
        <w:tc>
          <w:tcPr>
            <w:tcW w:w="5447"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资格性审查响应内容</w:t>
            </w:r>
          </w:p>
        </w:tc>
        <w:tc>
          <w:tcPr>
            <w:tcW w:w="1680"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是否响应</w:t>
            </w:r>
          </w:p>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（填是或者否）</w:t>
            </w:r>
          </w:p>
        </w:tc>
        <w:tc>
          <w:tcPr>
            <w:tcW w:w="1785"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投标文件中的</w:t>
            </w:r>
          </w:p>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b/>
                <w:color w:val="auto"/>
              </w:rPr>
            </w:pPr>
            <w:r>
              <w:rPr>
                <w:rFonts w:hint="eastAsia" w:ascii="宋体" w:hAnsi="宋体" w:eastAsia="宋体" w:cs="宋体"/>
                <w:b/>
                <w:color w:val="auto"/>
              </w:rPr>
              <w:t>1</w:t>
            </w:r>
          </w:p>
        </w:tc>
        <w:tc>
          <w:tcPr>
            <w:tcW w:w="5447" w:type="dxa"/>
            <w:noWrap/>
            <w:vAlign w:val="center"/>
          </w:tcPr>
          <w:p>
            <w:pPr>
              <w:spacing w:line="480" w:lineRule="exac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b/>
                <w:color w:val="auto"/>
              </w:rPr>
            </w:pPr>
          </w:p>
        </w:tc>
        <w:tc>
          <w:tcPr>
            <w:tcW w:w="1785" w:type="dxa"/>
            <w:noWrap/>
            <w:vAlign w:val="center"/>
          </w:tcPr>
          <w:p>
            <w:pPr>
              <w:jc w:val="center"/>
              <w:rPr>
                <w:rFonts w:hint="eastAsia"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5447" w:type="dxa"/>
            <w:noWrap/>
            <w:vAlign w:val="center"/>
          </w:tcPr>
          <w:p>
            <w:pPr>
              <w:spacing w:line="480" w:lineRule="exac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3</w:t>
            </w:r>
          </w:p>
        </w:tc>
        <w:tc>
          <w:tcPr>
            <w:tcW w:w="5447" w:type="dxa"/>
            <w:noWrap/>
            <w:vAlign w:val="center"/>
          </w:tcPr>
          <w:p>
            <w:pPr>
              <w:spacing w:line="480" w:lineRule="exac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4</w:t>
            </w:r>
          </w:p>
        </w:tc>
        <w:tc>
          <w:tcPr>
            <w:tcW w:w="5447" w:type="dxa"/>
            <w:noWrap/>
            <w:vAlign w:val="center"/>
          </w:tcPr>
          <w:p>
            <w:pPr>
              <w:spacing w:line="360" w:lineRule="auto"/>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5</w:t>
            </w:r>
          </w:p>
        </w:tc>
        <w:tc>
          <w:tcPr>
            <w:tcW w:w="5447" w:type="dxa"/>
            <w:noWrap/>
            <w:vAlign w:val="center"/>
          </w:tcPr>
          <w:p>
            <w:pPr>
              <w:snapToGrid w:val="0"/>
              <w:spacing w:line="590" w:lineRule="atLeas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6</w:t>
            </w:r>
          </w:p>
        </w:tc>
        <w:tc>
          <w:tcPr>
            <w:tcW w:w="5447" w:type="dxa"/>
            <w:noWrap/>
            <w:vAlign w:val="center"/>
          </w:tcPr>
          <w:p>
            <w:pPr>
              <w:snapToGrid w:val="0"/>
              <w:spacing w:line="590" w:lineRule="atLeas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7</w:t>
            </w:r>
          </w:p>
        </w:tc>
        <w:tc>
          <w:tcPr>
            <w:tcW w:w="5447" w:type="dxa"/>
            <w:noWrap/>
            <w:vAlign w:val="center"/>
          </w:tcPr>
          <w:p>
            <w:pPr>
              <w:snapToGrid w:val="0"/>
              <w:spacing w:line="590" w:lineRule="atLeas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bl>
    <w:p>
      <w:pPr>
        <w:spacing w:line="440" w:lineRule="exact"/>
        <w:ind w:firstLine="480" w:firstLineChars="200"/>
        <w:rPr>
          <w:rFonts w:hint="eastAsia" w:ascii="宋体" w:hAnsi="宋体" w:eastAsia="宋体" w:cs="宋体"/>
          <w:color w:val="auto"/>
          <w:sz w:val="24"/>
        </w:rPr>
      </w:pPr>
    </w:p>
    <w:p>
      <w:pPr>
        <w:snapToGrid w:val="0"/>
        <w:spacing w:before="50" w:after="50"/>
        <w:rPr>
          <w:rFonts w:hint="eastAsia" w:ascii="宋体" w:hAnsi="宋体" w:eastAsia="宋体" w:cs="宋体"/>
          <w:color w:val="auto"/>
          <w:sz w:val="44"/>
        </w:rPr>
      </w:pPr>
    </w:p>
    <w:p>
      <w:pPr>
        <w:snapToGrid w:val="0"/>
        <w:spacing w:before="50" w:after="50"/>
        <w:rPr>
          <w:rFonts w:hint="eastAsia" w:ascii="宋体" w:hAnsi="宋体" w:eastAsia="宋体" w:cs="宋体"/>
          <w:color w:val="auto"/>
          <w:sz w:val="44"/>
        </w:rPr>
      </w:pPr>
    </w:p>
    <w:p>
      <w:pPr>
        <w:snapToGrid w:val="0"/>
        <w:spacing w:before="50" w:after="50"/>
        <w:rPr>
          <w:rFonts w:hint="eastAsia" w:ascii="宋体" w:hAnsi="宋体" w:eastAsia="宋体" w:cs="宋体"/>
          <w:color w:val="auto"/>
          <w:sz w:val="44"/>
        </w:rPr>
      </w:pPr>
    </w:p>
    <w:p>
      <w:pPr>
        <w:snapToGrid w:val="0"/>
        <w:spacing w:before="50" w:after="50"/>
        <w:rPr>
          <w:rFonts w:hint="eastAsia" w:ascii="宋体" w:hAnsi="宋体" w:eastAsia="宋体" w:cs="宋体"/>
          <w:color w:val="auto"/>
          <w:sz w:val="44"/>
        </w:rPr>
      </w:pPr>
    </w:p>
    <w:p>
      <w:pPr>
        <w:snapToGrid w:val="0"/>
        <w:spacing w:before="50" w:after="50"/>
        <w:rPr>
          <w:rFonts w:hint="eastAsia" w:ascii="宋体" w:hAnsi="宋体" w:eastAsia="宋体" w:cs="宋体"/>
          <w:color w:val="auto"/>
          <w:sz w:val="44"/>
        </w:rPr>
      </w:pPr>
    </w:p>
    <w:p>
      <w:pPr>
        <w:snapToGrid w:val="0"/>
        <w:spacing w:before="50" w:after="50"/>
        <w:jc w:val="center"/>
        <w:rPr>
          <w:rFonts w:hint="eastAsia" w:ascii="宋体" w:hAnsi="宋体" w:eastAsia="宋体" w:cs="宋体"/>
          <w:color w:val="auto"/>
          <w:sz w:val="32"/>
          <w:szCs w:val="32"/>
        </w:rPr>
      </w:pPr>
    </w:p>
    <w:p>
      <w:pPr>
        <w:snapToGrid w:val="0"/>
        <w:spacing w:before="50" w:after="50"/>
        <w:jc w:val="center"/>
        <w:rPr>
          <w:rFonts w:hint="eastAsia" w:ascii="宋体" w:hAnsi="宋体" w:eastAsia="宋体" w:cs="宋体"/>
          <w:color w:val="auto"/>
          <w:sz w:val="32"/>
          <w:szCs w:val="32"/>
        </w:rPr>
      </w:pPr>
    </w:p>
    <w:p>
      <w:pPr>
        <w:snapToGrid w:val="0"/>
        <w:spacing w:before="50" w:after="50"/>
        <w:jc w:val="center"/>
        <w:outlineLvl w:val="0"/>
        <w:rPr>
          <w:rFonts w:hint="eastAsia" w:ascii="宋体" w:hAnsi="宋体" w:eastAsia="宋体" w:cs="宋体"/>
          <w:color w:val="auto"/>
          <w:sz w:val="32"/>
          <w:szCs w:val="32"/>
        </w:rPr>
      </w:pPr>
      <w:bookmarkStart w:id="35" w:name="_Toc26324"/>
      <w:r>
        <w:rPr>
          <w:rFonts w:hint="eastAsia" w:ascii="宋体" w:hAnsi="宋体" w:eastAsia="宋体" w:cs="宋体"/>
          <w:color w:val="auto"/>
          <w:sz w:val="32"/>
          <w:szCs w:val="32"/>
        </w:rPr>
        <w:t>三、符合性检查响应对照表（格式）</w:t>
      </w:r>
      <w:bookmarkEnd w:id="35"/>
    </w:p>
    <w:p>
      <w:pPr>
        <w:ind w:firstLine="309"/>
        <w:rPr>
          <w:rFonts w:hint="eastAsia" w:ascii="宋体" w:hAnsi="宋体" w:eastAsia="宋体" w:cs="宋体"/>
          <w:color w:val="auto"/>
          <w:sz w:val="24"/>
          <w:szCs w:val="24"/>
        </w:rPr>
      </w:pPr>
      <w:r>
        <w:rPr>
          <w:rFonts w:hint="eastAsia" w:ascii="宋体" w:hAnsi="宋体" w:eastAsia="宋体" w:cs="宋体"/>
          <w:color w:val="auto"/>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序号</w:t>
            </w:r>
          </w:p>
        </w:tc>
        <w:tc>
          <w:tcPr>
            <w:tcW w:w="5447"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符合性检查响应内容</w:t>
            </w:r>
          </w:p>
        </w:tc>
        <w:tc>
          <w:tcPr>
            <w:tcW w:w="1680"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是否响应</w:t>
            </w:r>
          </w:p>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（填是或者否）</w:t>
            </w:r>
          </w:p>
        </w:tc>
        <w:tc>
          <w:tcPr>
            <w:tcW w:w="1785" w:type="dxa"/>
            <w:noWrap/>
            <w:vAlign w:val="center"/>
          </w:tcPr>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投标文件中的</w:t>
            </w:r>
          </w:p>
          <w:p>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b/>
                <w:color w:val="auto"/>
              </w:rPr>
            </w:pPr>
            <w:r>
              <w:rPr>
                <w:rFonts w:hint="eastAsia" w:ascii="宋体" w:hAnsi="宋体" w:eastAsia="宋体" w:cs="宋体"/>
                <w:b/>
                <w:color w:val="auto"/>
              </w:rPr>
              <w:t>1</w:t>
            </w:r>
          </w:p>
        </w:tc>
        <w:tc>
          <w:tcPr>
            <w:tcW w:w="5447" w:type="dxa"/>
            <w:noWrap/>
            <w:vAlign w:val="center"/>
          </w:tcPr>
          <w:p>
            <w:pPr>
              <w:spacing w:line="480" w:lineRule="exac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b/>
                <w:color w:val="auto"/>
              </w:rPr>
            </w:pPr>
          </w:p>
        </w:tc>
        <w:tc>
          <w:tcPr>
            <w:tcW w:w="1785" w:type="dxa"/>
            <w:noWrap/>
            <w:vAlign w:val="center"/>
          </w:tcPr>
          <w:p>
            <w:pPr>
              <w:jc w:val="center"/>
              <w:rPr>
                <w:rFonts w:hint="eastAsia"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5447" w:type="dxa"/>
            <w:noWrap/>
            <w:vAlign w:val="center"/>
          </w:tcPr>
          <w:p>
            <w:pPr>
              <w:spacing w:line="480" w:lineRule="exac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3</w:t>
            </w:r>
          </w:p>
        </w:tc>
        <w:tc>
          <w:tcPr>
            <w:tcW w:w="5447" w:type="dxa"/>
            <w:noWrap/>
            <w:vAlign w:val="center"/>
          </w:tcPr>
          <w:p>
            <w:pPr>
              <w:spacing w:line="480" w:lineRule="exac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4</w:t>
            </w:r>
          </w:p>
        </w:tc>
        <w:tc>
          <w:tcPr>
            <w:tcW w:w="5447" w:type="dxa"/>
            <w:noWrap/>
            <w:vAlign w:val="center"/>
          </w:tcPr>
          <w:p>
            <w:pPr>
              <w:spacing w:line="360" w:lineRule="auto"/>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5</w:t>
            </w:r>
          </w:p>
        </w:tc>
        <w:tc>
          <w:tcPr>
            <w:tcW w:w="5447" w:type="dxa"/>
            <w:noWrap/>
            <w:vAlign w:val="center"/>
          </w:tcPr>
          <w:p>
            <w:pPr>
              <w:snapToGrid w:val="0"/>
              <w:spacing w:line="590" w:lineRule="atLeas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6</w:t>
            </w:r>
          </w:p>
        </w:tc>
        <w:tc>
          <w:tcPr>
            <w:tcW w:w="5447" w:type="dxa"/>
            <w:noWrap/>
            <w:vAlign w:val="center"/>
          </w:tcPr>
          <w:p>
            <w:pPr>
              <w:snapToGrid w:val="0"/>
              <w:spacing w:line="590" w:lineRule="atLeast"/>
              <w:jc w:val="center"/>
              <w:rPr>
                <w:rFonts w:hint="eastAsia" w:ascii="宋体" w:hAnsi="宋体" w:eastAsia="宋体" w:cs="宋体"/>
                <w:iCs/>
                <w:color w:val="auto"/>
                <w:sz w:val="24"/>
                <w:szCs w:val="24"/>
              </w:rPr>
            </w:pP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auto"/>
              </w:rPr>
            </w:pPr>
            <w:r>
              <w:rPr>
                <w:rFonts w:hint="eastAsia" w:ascii="宋体" w:hAnsi="宋体" w:eastAsia="宋体" w:cs="宋体"/>
                <w:color w:val="auto"/>
              </w:rPr>
              <w:t>7</w:t>
            </w:r>
          </w:p>
        </w:tc>
        <w:tc>
          <w:tcPr>
            <w:tcW w:w="5447" w:type="dxa"/>
            <w:noWrap/>
            <w:vAlign w:val="center"/>
          </w:tcPr>
          <w:p>
            <w:pPr>
              <w:snapToGrid w:val="0"/>
              <w:spacing w:line="590" w:lineRule="atLeast"/>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招标文件中的其他实质性要求</w:t>
            </w:r>
          </w:p>
        </w:tc>
        <w:tc>
          <w:tcPr>
            <w:tcW w:w="1680" w:type="dxa"/>
            <w:noWrap/>
            <w:vAlign w:val="center"/>
          </w:tcPr>
          <w:p>
            <w:pPr>
              <w:jc w:val="center"/>
              <w:rPr>
                <w:rFonts w:hint="eastAsia" w:ascii="宋体" w:hAnsi="宋体" w:eastAsia="宋体" w:cs="宋体"/>
                <w:color w:val="auto"/>
              </w:rPr>
            </w:pPr>
          </w:p>
        </w:tc>
        <w:tc>
          <w:tcPr>
            <w:tcW w:w="1785" w:type="dxa"/>
            <w:noWrap/>
            <w:vAlign w:val="center"/>
          </w:tcPr>
          <w:p>
            <w:pPr>
              <w:jc w:val="center"/>
              <w:rPr>
                <w:rFonts w:hint="eastAsia" w:ascii="宋体" w:hAnsi="宋体" w:eastAsia="宋体" w:cs="宋体"/>
                <w:color w:val="auto"/>
              </w:rPr>
            </w:pPr>
          </w:p>
        </w:tc>
      </w:tr>
    </w:tbl>
    <w:p>
      <w:pPr>
        <w:snapToGrid w:val="0"/>
        <w:spacing w:before="50" w:after="50"/>
        <w:rPr>
          <w:rFonts w:hint="eastAsia" w:ascii="宋体" w:hAnsi="宋体" w:eastAsia="宋体" w:cs="宋体"/>
          <w:color w:val="auto"/>
          <w:sz w:val="44"/>
        </w:rPr>
      </w:pPr>
    </w:p>
    <w:p>
      <w:pPr>
        <w:snapToGrid w:val="0"/>
        <w:spacing w:before="50" w:after="50"/>
        <w:rPr>
          <w:rFonts w:hint="eastAsia" w:ascii="宋体" w:hAnsi="宋体" w:eastAsia="宋体" w:cs="宋体"/>
          <w:color w:val="auto"/>
          <w:sz w:val="44"/>
        </w:rPr>
      </w:pPr>
    </w:p>
    <w:p>
      <w:pPr>
        <w:snapToGrid w:val="0"/>
        <w:spacing w:before="50" w:after="50"/>
        <w:rPr>
          <w:rFonts w:hint="eastAsia" w:ascii="宋体" w:hAnsi="宋体" w:eastAsia="宋体" w:cs="宋体"/>
          <w:color w:val="auto"/>
          <w:sz w:val="44"/>
        </w:rPr>
      </w:pPr>
    </w:p>
    <w:p>
      <w:pPr>
        <w:snapToGrid w:val="0"/>
        <w:spacing w:before="50" w:after="50"/>
        <w:rPr>
          <w:rFonts w:hint="eastAsia" w:ascii="宋体" w:hAnsi="宋体" w:eastAsia="宋体" w:cs="宋体"/>
          <w:color w:val="auto"/>
          <w:sz w:val="32"/>
          <w:szCs w:val="32"/>
        </w:rPr>
      </w:pPr>
    </w:p>
    <w:p>
      <w:pPr>
        <w:pStyle w:val="10"/>
        <w:rPr>
          <w:rFonts w:hint="eastAsia" w:ascii="宋体" w:hAnsi="宋体" w:eastAsia="宋体" w:cs="宋体"/>
          <w:color w:val="auto"/>
          <w:sz w:val="32"/>
          <w:szCs w:val="32"/>
        </w:rPr>
      </w:pPr>
    </w:p>
    <w:p>
      <w:pPr>
        <w:rPr>
          <w:rFonts w:hint="eastAsia" w:ascii="宋体" w:hAnsi="宋体" w:eastAsia="宋体" w:cs="宋体"/>
          <w:color w:val="auto"/>
        </w:rPr>
      </w:pPr>
    </w:p>
    <w:p>
      <w:pPr>
        <w:snapToGrid w:val="0"/>
        <w:spacing w:before="50" w:after="50"/>
        <w:jc w:val="center"/>
        <w:outlineLvl w:val="0"/>
        <w:rPr>
          <w:rFonts w:hint="eastAsia" w:ascii="宋体" w:hAnsi="宋体" w:eastAsia="宋体" w:cs="宋体"/>
          <w:color w:val="auto"/>
          <w:sz w:val="32"/>
          <w:szCs w:val="32"/>
        </w:rPr>
      </w:pPr>
      <w:bookmarkStart w:id="36" w:name="_Toc13422"/>
      <w:r>
        <w:rPr>
          <w:rFonts w:hint="eastAsia" w:ascii="宋体" w:hAnsi="宋体" w:eastAsia="宋体" w:cs="宋体"/>
          <w:color w:val="auto"/>
          <w:sz w:val="32"/>
          <w:szCs w:val="32"/>
        </w:rPr>
        <w:t>四、投标函（格式）</w:t>
      </w:r>
      <w:bookmarkEnd w:id="36"/>
    </w:p>
    <w:p>
      <w:pPr>
        <w:pStyle w:val="167"/>
        <w:spacing w:before="0" w:after="0" w:line="420" w:lineRule="exact"/>
        <w:ind w:firstLine="0"/>
        <w:rPr>
          <w:rFonts w:hint="eastAsia" w:ascii="宋体" w:hAnsi="宋体" w:eastAsia="宋体" w:cs="宋体"/>
          <w:color w:val="auto"/>
          <w:kern w:val="2"/>
        </w:rPr>
      </w:pPr>
      <w:r>
        <w:rPr>
          <w:rFonts w:hint="eastAsia" w:ascii="宋体" w:hAnsi="宋体" w:eastAsia="宋体" w:cs="宋体"/>
          <w:color w:val="auto"/>
          <w:kern w:val="2"/>
        </w:rPr>
        <w:t>致：</w:t>
      </w:r>
      <w:r>
        <w:rPr>
          <w:rFonts w:hint="eastAsia" w:ascii="宋体" w:hAnsi="宋体" w:eastAsia="宋体" w:cs="宋体"/>
          <w:color w:val="auto"/>
          <w:kern w:val="2"/>
          <w:u w:val="single"/>
        </w:rPr>
        <w:t>盐城工业职业技术学院</w:t>
      </w:r>
    </w:p>
    <w:p>
      <w:pPr>
        <w:pStyle w:val="167"/>
        <w:spacing w:before="0" w:after="0" w:line="420" w:lineRule="exact"/>
        <w:ind w:firstLineChars="200"/>
        <w:rPr>
          <w:rFonts w:hint="eastAsia" w:ascii="宋体" w:hAnsi="宋体" w:eastAsia="宋体" w:cs="宋体"/>
          <w:color w:val="auto"/>
          <w:kern w:val="2"/>
        </w:rPr>
      </w:pPr>
      <w:r>
        <w:rPr>
          <w:rFonts w:hint="eastAsia" w:ascii="宋体" w:hAnsi="宋体" w:eastAsia="宋体" w:cs="宋体"/>
          <w:color w:val="auto"/>
          <w:kern w:val="2"/>
        </w:rPr>
        <w:t>根据贵方的</w:t>
      </w:r>
      <w:r>
        <w:rPr>
          <w:rFonts w:hint="eastAsia" w:ascii="宋体" w:hAnsi="宋体" w:eastAsia="宋体" w:cs="宋体"/>
          <w:color w:val="auto"/>
          <w:kern w:val="2"/>
          <w:u w:val="single"/>
        </w:rPr>
        <w:t>2022-号</w:t>
      </w:r>
      <w:r>
        <w:rPr>
          <w:rFonts w:hint="eastAsia" w:ascii="宋体" w:hAnsi="宋体" w:eastAsia="宋体" w:cs="宋体"/>
          <w:color w:val="auto"/>
          <w:kern w:val="2"/>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hint="eastAsia" w:ascii="宋体" w:hAnsi="宋体" w:eastAsia="宋体" w:cs="宋体"/>
          <w:color w:val="auto"/>
          <w:kern w:val="2"/>
        </w:rPr>
      </w:pPr>
      <w:r>
        <w:rPr>
          <w:rFonts w:hint="eastAsia" w:ascii="宋体" w:hAnsi="宋体" w:eastAsia="宋体" w:cs="宋体"/>
          <w:color w:val="auto"/>
          <w:kern w:val="2"/>
        </w:rPr>
        <w:t>据此函，__________签字人兹宣布同意如下：</w:t>
      </w:r>
    </w:p>
    <w:p>
      <w:pPr>
        <w:pStyle w:val="167"/>
        <w:spacing w:before="0" w:after="0" w:line="420" w:lineRule="exact"/>
        <w:rPr>
          <w:rFonts w:hint="eastAsia" w:ascii="宋体" w:hAnsi="宋体" w:eastAsia="宋体" w:cs="宋体"/>
          <w:color w:val="auto"/>
          <w:kern w:val="2"/>
        </w:rPr>
      </w:pPr>
      <w:r>
        <w:rPr>
          <w:rFonts w:hint="eastAsia" w:ascii="宋体" w:hAnsi="宋体" w:eastAsia="宋体" w:cs="宋体"/>
          <w:color w:val="auto"/>
          <w:kern w:val="2"/>
        </w:rPr>
        <w:t>1.按招标文件规定的各项要求，向买方提供所需货物与服务。</w:t>
      </w:r>
    </w:p>
    <w:p>
      <w:pPr>
        <w:pStyle w:val="167"/>
        <w:spacing w:before="0" w:after="0" w:line="420" w:lineRule="exact"/>
        <w:ind w:firstLineChars="200"/>
        <w:rPr>
          <w:rFonts w:hint="eastAsia" w:ascii="宋体" w:hAnsi="宋体" w:eastAsia="宋体" w:cs="宋体"/>
          <w:color w:val="auto"/>
          <w:kern w:val="2"/>
        </w:rPr>
      </w:pPr>
      <w:r>
        <w:rPr>
          <w:rFonts w:hint="eastAsia" w:ascii="宋体" w:hAnsi="宋体" w:eastAsia="宋体" w:cs="宋体"/>
          <w:color w:val="auto"/>
          <w:kern w:val="2"/>
        </w:rPr>
        <w:t>2.我们完全理解贵方不一定将合同授予最低报价的投标人。</w:t>
      </w:r>
    </w:p>
    <w:p>
      <w:pPr>
        <w:pStyle w:val="167"/>
        <w:spacing w:before="0" w:after="0" w:line="420" w:lineRule="exact"/>
        <w:ind w:firstLineChars="200"/>
        <w:rPr>
          <w:rFonts w:hint="eastAsia" w:ascii="宋体" w:hAnsi="宋体" w:eastAsia="宋体" w:cs="宋体"/>
          <w:color w:val="auto"/>
          <w:kern w:val="2"/>
        </w:rPr>
      </w:pPr>
      <w:r>
        <w:rPr>
          <w:rFonts w:hint="eastAsia" w:ascii="宋体" w:hAnsi="宋体" w:eastAsia="宋体" w:cs="宋体"/>
          <w:color w:val="auto"/>
          <w:kern w:val="2"/>
        </w:rPr>
        <w:t>3.我们已详细审核全部招标文件及其有效补充文件，我们知道必须放弃提出含糊不清或误解问题的权利。</w:t>
      </w:r>
    </w:p>
    <w:p>
      <w:pPr>
        <w:pStyle w:val="167"/>
        <w:spacing w:before="0" w:after="0" w:line="420" w:lineRule="exact"/>
        <w:rPr>
          <w:rFonts w:hint="eastAsia" w:ascii="宋体" w:hAnsi="宋体" w:eastAsia="宋体" w:cs="宋体"/>
          <w:color w:val="auto"/>
          <w:kern w:val="2"/>
        </w:rPr>
      </w:pPr>
      <w:r>
        <w:rPr>
          <w:rFonts w:hint="eastAsia" w:ascii="宋体" w:hAnsi="宋体" w:eastAsia="宋体" w:cs="宋体"/>
          <w:color w:val="auto"/>
          <w:kern w:val="2"/>
        </w:rPr>
        <w:t>4.我们同意从规定的开标日期起遵循本投标文件，并在规定的投标有效期期满之前均具有约束力。</w:t>
      </w:r>
    </w:p>
    <w:p>
      <w:pPr>
        <w:pStyle w:val="167"/>
        <w:spacing w:before="0" w:after="0" w:line="420" w:lineRule="exact"/>
        <w:rPr>
          <w:rFonts w:hint="eastAsia" w:ascii="宋体" w:hAnsi="宋体" w:eastAsia="宋体" w:cs="宋体"/>
          <w:color w:val="auto"/>
          <w:kern w:val="2"/>
        </w:rPr>
      </w:pPr>
      <w:r>
        <w:rPr>
          <w:rFonts w:hint="eastAsia" w:ascii="宋体" w:hAnsi="宋体" w:eastAsia="宋体" w:cs="宋体"/>
          <w:color w:val="auto"/>
          <w:kern w:val="2"/>
        </w:rPr>
        <w:t>5.如果在开标后规定的投标有效期内撤回投标或中标后拒绝签订合同，</w:t>
      </w:r>
      <w:r>
        <w:rPr>
          <w:rFonts w:hint="eastAsia" w:ascii="宋体" w:hAnsi="宋体" w:eastAsia="宋体" w:cs="宋体"/>
          <w:color w:val="auto"/>
        </w:rPr>
        <w:t>则按照国家相关法律法规受到相应处罚</w:t>
      </w:r>
      <w:r>
        <w:rPr>
          <w:rFonts w:hint="eastAsia" w:ascii="宋体" w:hAnsi="宋体" w:eastAsia="宋体" w:cs="宋体"/>
          <w:color w:val="auto"/>
          <w:kern w:val="2"/>
        </w:rPr>
        <w:t>。</w:t>
      </w:r>
    </w:p>
    <w:p>
      <w:pPr>
        <w:pStyle w:val="167"/>
        <w:spacing w:before="0" w:after="0" w:line="420" w:lineRule="exact"/>
        <w:rPr>
          <w:rFonts w:hint="eastAsia" w:ascii="宋体" w:hAnsi="宋体" w:eastAsia="宋体" w:cs="宋体"/>
          <w:color w:val="auto"/>
          <w:kern w:val="2"/>
        </w:rPr>
      </w:pPr>
      <w:r>
        <w:rPr>
          <w:rFonts w:hint="eastAsia" w:ascii="宋体" w:hAnsi="宋体" w:eastAsia="宋体" w:cs="宋体"/>
          <w:color w:val="auto"/>
          <w:kern w:val="2"/>
        </w:rPr>
        <w:t>6.同意向贵方提供贵方可能另外要求的与投标有关的任何证据或资料，并保证我方已提供和将要提供的文件是真实的、准确的。</w:t>
      </w:r>
    </w:p>
    <w:p>
      <w:pPr>
        <w:pStyle w:val="167"/>
        <w:spacing w:before="0" w:after="0" w:line="420" w:lineRule="exact"/>
        <w:rPr>
          <w:rFonts w:hint="eastAsia" w:ascii="宋体" w:hAnsi="宋体" w:eastAsia="宋体" w:cs="宋体"/>
          <w:color w:val="auto"/>
          <w:kern w:val="2"/>
        </w:rPr>
      </w:pPr>
      <w:r>
        <w:rPr>
          <w:rFonts w:hint="eastAsia" w:ascii="宋体" w:hAnsi="宋体" w:eastAsia="宋体" w:cs="宋体"/>
          <w:color w:val="auto"/>
          <w:kern w:val="2"/>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hint="eastAsia" w:ascii="宋体" w:hAnsi="宋体" w:eastAsia="宋体" w:cs="宋体"/>
          <w:color w:val="auto"/>
          <w:kern w:val="2"/>
        </w:rPr>
      </w:pPr>
      <w:r>
        <w:rPr>
          <w:rFonts w:hint="eastAsia" w:ascii="宋体" w:hAnsi="宋体" w:eastAsia="宋体" w:cs="宋体"/>
          <w:color w:val="auto"/>
          <w:kern w:val="2"/>
        </w:rPr>
        <w:t>8.与本投标有关的正式通讯地址为：</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地          址：</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邮          编：</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电          话：</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传          真：</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投标人开户行：</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 xml:space="preserve">账          户： </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 xml:space="preserve">投标人授权代表姓名（签字）： </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 xml:space="preserve">投标人名称（公章）： </w:t>
      </w:r>
    </w:p>
    <w:p>
      <w:pPr>
        <w:pStyle w:val="167"/>
        <w:spacing w:before="0" w:after="0" w:line="420" w:lineRule="exact"/>
        <w:ind w:left="420" w:leftChars="200" w:firstLineChars="200"/>
        <w:rPr>
          <w:rFonts w:hint="eastAsia" w:ascii="宋体" w:hAnsi="宋体" w:eastAsia="宋体" w:cs="宋体"/>
          <w:color w:val="auto"/>
          <w:kern w:val="2"/>
        </w:rPr>
      </w:pPr>
      <w:r>
        <w:rPr>
          <w:rFonts w:hint="eastAsia" w:ascii="宋体" w:hAnsi="宋体" w:eastAsia="宋体" w:cs="宋体"/>
          <w:color w:val="auto"/>
          <w:kern w:val="2"/>
        </w:rPr>
        <w:t>日           期：________年____月____日</w:t>
      </w:r>
    </w:p>
    <w:p>
      <w:pPr>
        <w:snapToGrid w:val="0"/>
        <w:spacing w:before="50" w:after="145"/>
        <w:jc w:val="left"/>
        <w:rPr>
          <w:rStyle w:val="47"/>
          <w:rFonts w:hint="eastAsia" w:ascii="宋体" w:hAnsi="宋体" w:eastAsia="宋体" w:cs="宋体"/>
          <w:color w:val="auto"/>
          <w:sz w:val="24"/>
          <w:szCs w:val="20"/>
        </w:rPr>
      </w:pPr>
    </w:p>
    <w:p>
      <w:pPr>
        <w:jc w:val="center"/>
        <w:rPr>
          <w:rStyle w:val="47"/>
          <w:rFonts w:hint="eastAsia" w:ascii="宋体" w:hAnsi="宋体" w:eastAsia="宋体" w:cs="宋体"/>
          <w:b/>
          <w:color w:val="auto"/>
          <w:sz w:val="32"/>
          <w:szCs w:val="32"/>
        </w:rPr>
      </w:pPr>
    </w:p>
    <w:p>
      <w:pPr>
        <w:pStyle w:val="2"/>
        <w:rPr>
          <w:rFonts w:hint="eastAsia" w:ascii="宋体" w:hAnsi="宋体" w:eastAsia="宋体" w:cs="宋体"/>
          <w:color w:val="auto"/>
        </w:rPr>
      </w:pPr>
    </w:p>
    <w:p>
      <w:pPr>
        <w:snapToGrid w:val="0"/>
        <w:spacing w:before="50" w:after="50"/>
        <w:rPr>
          <w:rStyle w:val="47"/>
          <w:rFonts w:hint="eastAsia" w:ascii="宋体" w:hAnsi="宋体" w:eastAsia="宋体" w:cs="宋体"/>
          <w:color w:val="auto"/>
          <w:sz w:val="32"/>
          <w:szCs w:val="32"/>
        </w:rPr>
      </w:pPr>
    </w:p>
    <w:p>
      <w:pPr>
        <w:snapToGrid w:val="0"/>
        <w:spacing w:before="50" w:after="50"/>
        <w:jc w:val="center"/>
        <w:outlineLvl w:val="0"/>
        <w:rPr>
          <w:rStyle w:val="47"/>
          <w:rFonts w:hint="eastAsia" w:ascii="宋体" w:hAnsi="宋体" w:eastAsia="宋体" w:cs="宋体"/>
          <w:color w:val="auto"/>
          <w:sz w:val="32"/>
          <w:szCs w:val="32"/>
        </w:rPr>
      </w:pPr>
      <w:bookmarkStart w:id="37" w:name="_Toc3373"/>
    </w:p>
    <w:p>
      <w:pPr>
        <w:snapToGrid w:val="0"/>
        <w:spacing w:before="50" w:after="50"/>
        <w:jc w:val="center"/>
        <w:outlineLvl w:val="0"/>
        <w:rPr>
          <w:rStyle w:val="47"/>
          <w:rFonts w:hint="eastAsia" w:ascii="宋体" w:hAnsi="宋体" w:eastAsia="宋体" w:cs="宋体"/>
          <w:color w:val="auto"/>
          <w:sz w:val="32"/>
          <w:szCs w:val="32"/>
        </w:rPr>
      </w:pPr>
      <w:r>
        <w:rPr>
          <w:rStyle w:val="47"/>
          <w:rFonts w:hint="eastAsia" w:ascii="宋体" w:hAnsi="宋体" w:eastAsia="宋体" w:cs="宋体"/>
          <w:color w:val="auto"/>
          <w:sz w:val="32"/>
          <w:szCs w:val="32"/>
        </w:rPr>
        <w:t>五、开标一览表（格式）</w:t>
      </w:r>
      <w:bookmarkEnd w:id="37"/>
    </w:p>
    <w:p>
      <w:pPr>
        <w:snapToGrid w:val="0"/>
        <w:spacing w:before="50" w:after="50"/>
        <w:jc w:val="center"/>
        <w:rPr>
          <w:rStyle w:val="47"/>
          <w:rFonts w:hint="eastAsia" w:ascii="宋体" w:hAnsi="宋体" w:eastAsia="宋体" w:cs="宋体"/>
          <w:color w:val="auto"/>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hint="eastAsia" w:ascii="宋体" w:hAnsi="宋体" w:eastAsia="宋体" w:cs="宋体"/>
                <w:b/>
                <w:bCs/>
                <w:color w:val="auto"/>
                <w:szCs w:val="28"/>
              </w:rPr>
            </w:pPr>
            <w:r>
              <w:rPr>
                <w:rStyle w:val="47"/>
                <w:rFonts w:hint="eastAsia" w:ascii="宋体" w:hAnsi="宋体" w:eastAsia="宋体" w:cs="宋体"/>
                <w:b/>
                <w:bCs/>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hint="eastAsia" w:ascii="宋体" w:hAnsi="宋体" w:eastAsia="宋体" w:cs="宋体"/>
                <w:b/>
                <w:bCs/>
                <w:color w:val="auto"/>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hint="eastAsia" w:ascii="宋体" w:hAnsi="宋体" w:eastAsia="宋体" w:cs="宋体"/>
                <w:b/>
                <w:bCs/>
                <w:color w:val="auto"/>
                <w:szCs w:val="28"/>
              </w:rPr>
            </w:pPr>
            <w:r>
              <w:rPr>
                <w:rStyle w:val="47"/>
                <w:rFonts w:hint="eastAsia" w:ascii="宋体" w:hAnsi="宋体" w:eastAsia="宋体" w:cs="宋体"/>
                <w:b/>
                <w:bCs/>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hint="eastAsia" w:ascii="宋体" w:hAnsi="宋体" w:eastAsia="宋体" w:cs="宋体"/>
                <w:b/>
                <w:bCs/>
                <w:color w:val="auto"/>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color w:val="auto"/>
                <w:szCs w:val="28"/>
              </w:rPr>
            </w:pPr>
            <w:r>
              <w:rPr>
                <w:rStyle w:val="47"/>
                <w:rFonts w:hint="eastAsia" w:ascii="宋体" w:hAnsi="宋体" w:eastAsia="宋体" w:cs="宋体"/>
                <w:b/>
                <w:bCs/>
                <w:color w:val="auto"/>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hint="eastAsia" w:ascii="宋体" w:hAnsi="宋体" w:eastAsia="宋体" w:cs="宋体"/>
                <w:b/>
                <w:bCs/>
                <w:color w:val="auto"/>
                <w:szCs w:val="28"/>
              </w:rPr>
            </w:pPr>
            <w:r>
              <w:rPr>
                <w:rStyle w:val="47"/>
                <w:rFonts w:hint="eastAsia" w:ascii="宋体" w:hAnsi="宋体" w:eastAsia="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hint="eastAsia" w:ascii="宋体" w:hAnsi="宋体" w:eastAsia="宋体" w:cs="宋体"/>
                <w:b/>
                <w:bCs/>
                <w:color w:val="auto"/>
                <w:szCs w:val="28"/>
              </w:rPr>
            </w:pPr>
            <w:r>
              <w:rPr>
                <w:rStyle w:val="47"/>
                <w:rFonts w:hint="eastAsia" w:ascii="宋体" w:hAnsi="宋体" w:eastAsia="宋体" w:cs="宋体"/>
                <w:b/>
                <w:bCs/>
                <w:color w:val="auto"/>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hint="eastAsia" w:ascii="宋体" w:hAnsi="宋体" w:eastAsia="宋体" w:cs="宋体"/>
                <w:b/>
                <w:bCs/>
                <w:color w:val="auto"/>
                <w:szCs w:val="28"/>
              </w:rPr>
            </w:pPr>
            <w:r>
              <w:rPr>
                <w:rStyle w:val="47"/>
                <w:rFonts w:hint="eastAsia" w:ascii="宋体" w:hAnsi="宋体" w:eastAsia="宋体" w:cs="宋体"/>
                <w:b/>
                <w:bCs/>
                <w:color w:val="auto"/>
                <w:szCs w:val="28"/>
              </w:rPr>
              <w:t>是否提供《企业类型声明函》：</w:t>
            </w:r>
            <w:r>
              <w:rPr>
                <w:rStyle w:val="47"/>
                <w:rFonts w:hint="eastAsia" w:ascii="宋体" w:hAnsi="宋体" w:eastAsia="宋体" w:cs="宋体"/>
                <w:b/>
                <w:bCs/>
                <w:color w:val="auto"/>
                <w:szCs w:val="28"/>
                <w:u w:val="single"/>
              </w:rPr>
              <w:t xml:space="preserve"> 是/否 见（   ）页</w:t>
            </w:r>
          </w:p>
        </w:tc>
      </w:tr>
    </w:tbl>
    <w:p>
      <w:pPr>
        <w:spacing w:line="240" w:lineRule="atLeast"/>
        <w:rPr>
          <w:rStyle w:val="47"/>
          <w:rFonts w:hint="eastAsia" w:ascii="宋体" w:hAnsi="宋体" w:eastAsia="宋体" w:cs="宋体"/>
          <w:color w:val="auto"/>
          <w:szCs w:val="28"/>
        </w:rPr>
      </w:pPr>
    </w:p>
    <w:p>
      <w:pPr>
        <w:spacing w:line="240" w:lineRule="atLeast"/>
        <w:rPr>
          <w:rStyle w:val="47"/>
          <w:rFonts w:hint="eastAsia" w:ascii="宋体" w:hAnsi="宋体" w:eastAsia="宋体" w:cs="宋体"/>
          <w:color w:val="auto"/>
          <w:szCs w:val="28"/>
        </w:rPr>
      </w:pPr>
      <w:r>
        <w:rPr>
          <w:rStyle w:val="47"/>
          <w:rFonts w:hint="eastAsia" w:ascii="宋体" w:hAnsi="宋体" w:eastAsia="宋体" w:cs="宋体"/>
          <w:color w:val="auto"/>
          <w:szCs w:val="28"/>
        </w:rPr>
        <w:t>填写说明：</w:t>
      </w:r>
    </w:p>
    <w:p>
      <w:pPr>
        <w:numPr>
          <w:ilvl w:val="0"/>
          <w:numId w:val="7"/>
        </w:numPr>
        <w:rPr>
          <w:rStyle w:val="47"/>
          <w:rFonts w:hint="eastAsia" w:ascii="宋体" w:hAnsi="宋体" w:eastAsia="宋体" w:cs="宋体"/>
          <w:color w:val="auto"/>
          <w:sz w:val="24"/>
        </w:rPr>
      </w:pPr>
      <w:r>
        <w:rPr>
          <w:rStyle w:val="47"/>
          <w:rFonts w:hint="eastAsia" w:ascii="宋体" w:hAnsi="宋体" w:eastAsia="宋体" w:cs="宋体"/>
          <w:color w:val="auto"/>
          <w:sz w:val="24"/>
        </w:rPr>
        <w:t>开标一览表不得填报选择性报价，否则将作为无效投标；</w:t>
      </w:r>
    </w:p>
    <w:p>
      <w:pPr>
        <w:numPr>
          <w:ilvl w:val="0"/>
          <w:numId w:val="7"/>
        </w:numPr>
        <w:rPr>
          <w:rStyle w:val="47"/>
          <w:rFonts w:hint="eastAsia" w:ascii="宋体" w:hAnsi="宋体" w:eastAsia="宋体" w:cs="宋体"/>
          <w:color w:val="auto"/>
          <w:sz w:val="24"/>
        </w:rPr>
      </w:pPr>
      <w:r>
        <w:rPr>
          <w:rStyle w:val="47"/>
          <w:rFonts w:hint="eastAsia" w:ascii="宋体" w:hAnsi="宋体" w:eastAsia="宋体" w:cs="宋体"/>
          <w:color w:val="auto"/>
          <w:sz w:val="24"/>
        </w:rPr>
        <w:t>开标一览表中报价与投标分项明细报价表中不符时时，以开标一览表为准；</w:t>
      </w:r>
    </w:p>
    <w:p>
      <w:pPr>
        <w:ind w:firstLine="2640" w:firstLineChars="600"/>
        <w:rPr>
          <w:rStyle w:val="47"/>
          <w:rFonts w:hint="eastAsia" w:ascii="宋体" w:hAnsi="宋体" w:eastAsia="宋体" w:cs="宋体"/>
          <w:color w:val="auto"/>
          <w:sz w:val="44"/>
        </w:rPr>
      </w:pPr>
    </w:p>
    <w:p>
      <w:pPr>
        <w:ind w:firstLine="480"/>
        <w:rPr>
          <w:rStyle w:val="47"/>
          <w:rFonts w:hint="eastAsia" w:ascii="宋体" w:hAnsi="宋体" w:eastAsia="宋体" w:cs="宋体"/>
          <w:color w:val="auto"/>
          <w:sz w:val="24"/>
        </w:rPr>
      </w:pPr>
    </w:p>
    <w:p>
      <w:pPr>
        <w:ind w:firstLine="480"/>
        <w:rPr>
          <w:rStyle w:val="47"/>
          <w:rFonts w:hint="eastAsia" w:ascii="宋体" w:hAnsi="宋体" w:eastAsia="宋体" w:cs="宋体"/>
          <w:color w:val="auto"/>
          <w:sz w:val="24"/>
        </w:rPr>
      </w:pPr>
    </w:p>
    <w:p>
      <w:pPr>
        <w:ind w:firstLine="480"/>
        <w:jc w:val="center"/>
        <w:rPr>
          <w:rStyle w:val="47"/>
          <w:rFonts w:hint="eastAsia" w:ascii="宋体" w:hAnsi="宋体" w:eastAsia="宋体" w:cs="宋体"/>
          <w:color w:val="auto"/>
          <w:sz w:val="24"/>
        </w:rPr>
      </w:pPr>
      <w:r>
        <w:rPr>
          <w:rStyle w:val="47"/>
          <w:rFonts w:hint="eastAsia" w:ascii="宋体" w:hAnsi="宋体" w:eastAsia="宋体" w:cs="宋体"/>
          <w:bCs/>
          <w:color w:val="auto"/>
          <w:sz w:val="24"/>
        </w:rPr>
        <w:t xml:space="preserve">                                        供应商名称（公章）：</w:t>
      </w:r>
    </w:p>
    <w:p>
      <w:pPr>
        <w:ind w:firstLine="480"/>
        <w:rPr>
          <w:rStyle w:val="47"/>
          <w:rFonts w:hint="eastAsia" w:ascii="宋体" w:hAnsi="宋体" w:eastAsia="宋体" w:cs="宋体"/>
          <w:color w:val="auto"/>
          <w:sz w:val="24"/>
        </w:rPr>
      </w:pPr>
      <w:r>
        <w:rPr>
          <w:rStyle w:val="47"/>
          <w:rFonts w:hint="eastAsia" w:ascii="宋体" w:hAnsi="宋体" w:eastAsia="宋体" w:cs="宋体"/>
          <w:color w:val="auto"/>
          <w:sz w:val="24"/>
        </w:rPr>
        <w:t xml:space="preserve">                                              日期： 年月日</w:t>
      </w:r>
    </w:p>
    <w:p>
      <w:pPr>
        <w:pStyle w:val="2"/>
        <w:rPr>
          <w:rFonts w:hint="eastAsia" w:ascii="宋体" w:hAnsi="宋体" w:eastAsia="宋体" w:cs="宋体"/>
          <w:color w:val="auto"/>
        </w:rPr>
      </w:pPr>
    </w:p>
    <w:p>
      <w:pPr>
        <w:rPr>
          <w:rFonts w:hint="eastAsia" w:ascii="宋体" w:hAnsi="宋体" w:eastAsia="宋体" w:cs="宋体"/>
          <w:color w:val="auto"/>
        </w:rPr>
      </w:pPr>
    </w:p>
    <w:p>
      <w:pPr>
        <w:pStyle w:val="9"/>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b/>
          <w:color w:val="auto"/>
          <w:sz w:val="24"/>
          <w:szCs w:val="24"/>
        </w:rPr>
      </w:pPr>
      <w:bookmarkStart w:id="38" w:name="_Toc10977"/>
      <w:bookmarkStart w:id="39" w:name="_Toc515647824"/>
      <w:bookmarkStart w:id="40" w:name="_Toc11803"/>
      <w:bookmarkStart w:id="41" w:name="_Toc13776"/>
    </w:p>
    <w:bookmarkEnd w:id="38"/>
    <w:bookmarkEnd w:id="39"/>
    <w:bookmarkEnd w:id="40"/>
    <w:bookmarkEnd w:id="41"/>
    <w:p>
      <w:pPr>
        <w:pStyle w:val="6"/>
        <w:pageBreakBefore/>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t>中小企业声明</w:t>
      </w:r>
    </w:p>
    <w:p>
      <w:pPr>
        <w:spacing w:line="360" w:lineRule="auto"/>
        <w:rPr>
          <w:rFonts w:hint="eastAsia" w:ascii="宋体" w:hAnsi="宋体" w:eastAsia="宋体" w:cs="宋体"/>
          <w:color w:val="auto"/>
        </w:rPr>
      </w:pPr>
      <w:r>
        <w:rPr>
          <w:rFonts w:hint="eastAsia" w:ascii="宋体" w:hAnsi="宋体" w:eastAsia="宋体" w:cs="宋体"/>
          <w:color w:val="auto"/>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hint="eastAsia" w:ascii="宋体" w:hAnsi="宋体" w:eastAsia="宋体" w:cs="宋体"/>
          <w:color w:val="auto"/>
        </w:rPr>
      </w:pPr>
      <w:r>
        <w:rPr>
          <w:rFonts w:hint="eastAsia" w:ascii="宋体" w:hAnsi="宋体" w:eastAsia="宋体" w:cs="宋体"/>
          <w:color w:val="auto"/>
        </w:rPr>
        <w:t>附件：1、中小企业声明函（货物）</w:t>
      </w:r>
    </w:p>
    <w:p>
      <w:pPr>
        <w:spacing w:line="360" w:lineRule="auto"/>
        <w:ind w:firstLine="420" w:firstLineChars="200"/>
        <w:outlineLvl w:val="0"/>
        <w:rPr>
          <w:rFonts w:hint="eastAsia" w:ascii="宋体" w:hAnsi="宋体" w:eastAsia="宋体" w:cs="宋体"/>
          <w:color w:val="auto"/>
        </w:rPr>
      </w:pPr>
      <w:r>
        <w:rPr>
          <w:rFonts w:hint="eastAsia" w:ascii="宋体" w:hAnsi="宋体" w:eastAsia="宋体" w:cs="宋体"/>
          <w:color w:val="auto"/>
        </w:rPr>
        <w:t>附件：2、《残疾人福利性单位声明函》（格式）</w:t>
      </w: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p>
    <w:p>
      <w:pPr>
        <w:pStyle w:val="20"/>
        <w:shd w:val="clear" w:color="auto" w:fill="FFFFFF"/>
        <w:spacing w:before="0" w:beforeAutospacing="0" w:after="0" w:afterAutospacing="0" w:line="560" w:lineRule="atLeast"/>
        <w:jc w:val="both"/>
        <w:rPr>
          <w:rFonts w:hint="eastAsia" w:ascii="宋体" w:hAnsi="宋体" w:eastAsia="宋体" w:cs="宋体"/>
          <w:b/>
          <w:color w:val="auto"/>
          <w:shd w:val="clear" w:color="auto" w:fill="FFFFFF"/>
        </w:rPr>
      </w:pPr>
      <w:r>
        <w:rPr>
          <w:rFonts w:hint="eastAsia" w:ascii="宋体" w:hAnsi="宋体" w:eastAsia="宋体" w:cs="宋体"/>
          <w:b/>
          <w:color w:val="auto"/>
          <w:shd w:val="clear" w:color="auto" w:fill="FFFFFF"/>
        </w:rPr>
        <w:t>附件1：</w:t>
      </w:r>
      <w:r>
        <w:rPr>
          <w:rFonts w:hint="eastAsia" w:ascii="宋体" w:hAnsi="宋体" w:eastAsia="宋体" w:cs="宋体"/>
          <w:b/>
          <w:bCs/>
          <w:color w:val="auto"/>
        </w:rPr>
        <w:t>中小企业声明函</w:t>
      </w:r>
    </w:p>
    <w:p>
      <w:pPr>
        <w:spacing w:line="5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中小企业声明函（货物）</w:t>
      </w:r>
    </w:p>
    <w:p>
      <w:pPr>
        <w:spacing w:line="560" w:lineRule="exact"/>
        <w:jc w:val="center"/>
        <w:rPr>
          <w:rFonts w:hint="eastAsia" w:ascii="宋体" w:hAnsi="宋体" w:eastAsia="宋体" w:cs="宋体"/>
          <w:b/>
          <w:bCs/>
          <w:color w:val="auto"/>
          <w:sz w:val="32"/>
          <w:szCs w:val="32"/>
        </w:rPr>
      </w:pP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i/>
          <w:iCs/>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i/>
          <w:iCs/>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i/>
          <w:iCs/>
          <w:color w:val="auto"/>
          <w:sz w:val="24"/>
          <w:szCs w:val="24"/>
          <w:u w:val="single"/>
        </w:rPr>
        <w:t xml:space="preserve">（标的名称） </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pPr>
        <w:numPr>
          <w:ilvl w:val="0"/>
          <w:numId w:val="8"/>
        </w:numPr>
        <w:tabs>
          <w:tab w:val="left" w:pos="1440"/>
        </w:tabs>
        <w:ind w:firstLine="480" w:firstLineChars="200"/>
        <w:jc w:val="left"/>
        <w:rPr>
          <w:rFonts w:hint="eastAsia" w:ascii="宋体" w:hAnsi="宋体" w:eastAsia="宋体" w:cs="宋体"/>
          <w:color w:val="auto"/>
          <w:sz w:val="24"/>
          <w:szCs w:val="24"/>
        </w:rPr>
      </w:pPr>
      <w:r>
        <w:rPr>
          <w:rFonts w:hint="eastAsia" w:ascii="宋体" w:hAnsi="宋体" w:eastAsia="宋体" w:cs="宋体"/>
          <w:i/>
          <w:iCs/>
          <w:color w:val="auto"/>
          <w:sz w:val="24"/>
          <w:szCs w:val="24"/>
          <w:u w:val="single"/>
        </w:rPr>
        <w:t xml:space="preserve">（标的名称） </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ind w:firstLine="4080" w:firstLineChars="1700"/>
        <w:jc w:val="left"/>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ind w:firstLine="4080" w:firstLineChars="170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560" w:lineRule="exact"/>
        <w:jc w:val="center"/>
        <w:rPr>
          <w:rFonts w:hint="eastAsia" w:ascii="宋体" w:hAnsi="宋体" w:eastAsia="宋体" w:cs="宋体"/>
          <w:b/>
          <w:bCs/>
          <w:color w:val="auto"/>
        </w:rPr>
      </w:pPr>
      <w:r>
        <w:rPr>
          <w:rFonts w:hint="eastAsia" w:ascii="宋体" w:hAnsi="宋体" w:eastAsia="宋体" w:cs="宋体"/>
          <w:b/>
          <w:bCs/>
          <w:color w:val="auto"/>
        </w:rPr>
        <w:t>从业人员、营业收入、资产总额填报上一年度数据，无上一年度数据的新成立企业可不填报。</w:t>
      </w:r>
    </w:p>
    <w:p>
      <w:pPr>
        <w:spacing w:line="560" w:lineRule="exact"/>
        <w:jc w:val="center"/>
        <w:rPr>
          <w:rFonts w:hint="eastAsia" w:ascii="宋体" w:hAnsi="宋体" w:eastAsia="宋体" w:cs="宋体"/>
          <w:b/>
          <w:bCs/>
          <w:color w:val="auto"/>
          <w:sz w:val="24"/>
          <w:szCs w:val="24"/>
        </w:rPr>
      </w:pPr>
    </w:p>
    <w:p>
      <w:pPr>
        <w:spacing w:line="560" w:lineRule="exact"/>
        <w:jc w:val="center"/>
        <w:rPr>
          <w:rFonts w:hint="eastAsia" w:ascii="宋体" w:hAnsi="宋体" w:eastAsia="宋体" w:cs="宋体"/>
          <w:b/>
          <w:bCs/>
          <w:color w:val="auto"/>
          <w:sz w:val="24"/>
          <w:szCs w:val="24"/>
        </w:rPr>
      </w:pPr>
    </w:p>
    <w:p>
      <w:pPr>
        <w:pStyle w:val="30"/>
        <w:rPr>
          <w:rFonts w:hint="eastAsia" w:ascii="宋体" w:hAnsi="宋体" w:eastAsia="宋体" w:cs="宋体"/>
          <w:color w:val="auto"/>
        </w:rPr>
      </w:pPr>
    </w:p>
    <w:p>
      <w:pPr>
        <w:spacing w:line="560" w:lineRule="exact"/>
        <w:jc w:val="center"/>
        <w:rPr>
          <w:rFonts w:hint="eastAsia" w:ascii="宋体" w:hAnsi="宋体" w:eastAsia="宋体" w:cs="宋体"/>
          <w:b/>
          <w:bCs/>
          <w:color w:val="auto"/>
          <w:sz w:val="24"/>
          <w:szCs w:val="24"/>
        </w:rPr>
      </w:pPr>
    </w:p>
    <w:p>
      <w:pPr>
        <w:spacing w:line="5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中小企业声明函（工程、服务）</w:t>
      </w:r>
    </w:p>
    <w:p>
      <w:pPr>
        <w:spacing w:line="560" w:lineRule="exact"/>
        <w:rPr>
          <w:rFonts w:hint="eastAsia" w:ascii="宋体" w:hAnsi="宋体" w:eastAsia="宋体" w:cs="宋体"/>
          <w:b/>
          <w:bCs/>
          <w:color w:val="auto"/>
          <w:sz w:val="28"/>
          <w:szCs w:val="28"/>
        </w:rPr>
      </w:pP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9"/>
        </w:numPr>
        <w:ind w:firstLine="480" w:firstLineChars="200"/>
        <w:jc w:val="left"/>
        <w:rPr>
          <w:rFonts w:hint="eastAsia" w:ascii="宋体" w:hAnsi="宋体" w:eastAsia="宋体" w:cs="宋体"/>
          <w:color w:val="auto"/>
          <w:sz w:val="24"/>
          <w:szCs w:val="24"/>
        </w:rPr>
      </w:pPr>
      <w:r>
        <w:rPr>
          <w:rFonts w:hint="eastAsia" w:ascii="宋体" w:hAnsi="宋体" w:eastAsia="宋体" w:cs="宋体"/>
          <w:i/>
          <w:iCs/>
          <w:color w:val="auto"/>
          <w:sz w:val="24"/>
          <w:szCs w:val="24"/>
          <w:u w:val="single"/>
        </w:rPr>
        <w:t xml:space="preserve">（标的名称） </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行业；承接（承接）企业为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pPr>
        <w:numPr>
          <w:ilvl w:val="0"/>
          <w:numId w:val="9"/>
        </w:numPr>
        <w:ind w:firstLine="480" w:firstLineChars="200"/>
        <w:jc w:val="left"/>
        <w:rPr>
          <w:rFonts w:hint="eastAsia" w:ascii="宋体" w:hAnsi="宋体" w:eastAsia="宋体" w:cs="宋体"/>
          <w:color w:val="auto"/>
          <w:sz w:val="24"/>
          <w:szCs w:val="24"/>
        </w:rPr>
      </w:pPr>
      <w:r>
        <w:rPr>
          <w:rFonts w:hint="eastAsia" w:ascii="宋体" w:hAnsi="宋体" w:eastAsia="宋体" w:cs="宋体"/>
          <w:i/>
          <w:iCs/>
          <w:color w:val="auto"/>
          <w:sz w:val="24"/>
          <w:szCs w:val="24"/>
          <w:u w:val="single"/>
        </w:rPr>
        <w:t xml:space="preserve">（标的名称） </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行业；承接（承接）企业为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ind w:firstLine="4080" w:firstLineChars="1700"/>
        <w:jc w:val="left"/>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ind w:firstLine="4080" w:firstLineChars="170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560" w:lineRule="exact"/>
        <w:jc w:val="center"/>
        <w:rPr>
          <w:rFonts w:hint="eastAsia" w:ascii="宋体" w:hAnsi="宋体" w:eastAsia="宋体" w:cs="宋体"/>
          <w:b/>
          <w:bCs/>
          <w:color w:val="auto"/>
        </w:rPr>
      </w:pPr>
      <w:r>
        <w:rPr>
          <w:rFonts w:hint="eastAsia" w:ascii="宋体" w:hAnsi="宋体" w:eastAsia="宋体" w:cs="宋体"/>
          <w:b/>
          <w:bCs/>
          <w:color w:val="auto"/>
        </w:rPr>
        <w:t>从业人员、营业收入、资产总额填报上一年度数据，无上一年度数据的新成立企业可不填报。</w:t>
      </w:r>
    </w:p>
    <w:p>
      <w:pPr>
        <w:spacing w:before="100" w:beforeAutospacing="1" w:after="100" w:afterAutospacing="1" w:line="360" w:lineRule="auto"/>
        <w:ind w:firstLine="2730" w:firstLineChars="1300"/>
        <w:jc w:val="left"/>
        <w:rPr>
          <w:rFonts w:hint="eastAsia" w:ascii="宋体" w:hAnsi="宋体" w:eastAsia="宋体" w:cs="宋体"/>
          <w:color w:val="auto"/>
          <w:kern w:val="0"/>
        </w:rPr>
      </w:pPr>
    </w:p>
    <w:p>
      <w:pPr>
        <w:spacing w:line="360" w:lineRule="auto"/>
        <w:rPr>
          <w:rFonts w:hint="eastAsia" w:ascii="宋体" w:hAnsi="宋体" w:eastAsia="宋体" w:cs="宋体"/>
          <w:b/>
          <w:color w:val="auto"/>
        </w:rPr>
      </w:pPr>
    </w:p>
    <w:p>
      <w:pPr>
        <w:spacing w:line="360" w:lineRule="auto"/>
        <w:rPr>
          <w:rFonts w:hint="eastAsia" w:ascii="宋体" w:hAnsi="宋体" w:eastAsia="宋体" w:cs="宋体"/>
          <w:b/>
          <w:color w:val="auto"/>
        </w:rPr>
      </w:pPr>
    </w:p>
    <w:p>
      <w:pPr>
        <w:spacing w:line="360" w:lineRule="auto"/>
        <w:rPr>
          <w:rFonts w:hint="eastAsia" w:ascii="宋体" w:hAnsi="宋体" w:eastAsia="宋体" w:cs="宋体"/>
          <w:b/>
          <w:color w:val="auto"/>
        </w:rPr>
      </w:pPr>
    </w:p>
    <w:p>
      <w:pPr>
        <w:spacing w:line="360" w:lineRule="auto"/>
        <w:rPr>
          <w:rFonts w:hint="eastAsia" w:ascii="宋体" w:hAnsi="宋体" w:eastAsia="宋体" w:cs="宋体"/>
          <w:b/>
          <w:color w:val="auto"/>
        </w:rPr>
      </w:pPr>
    </w:p>
    <w:p>
      <w:pPr>
        <w:spacing w:line="360" w:lineRule="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附件2、残疾人福利性单位声明函</w:t>
      </w:r>
    </w:p>
    <w:p>
      <w:pPr>
        <w:spacing w:line="360" w:lineRule="auto"/>
        <w:rPr>
          <w:rFonts w:hint="eastAsia" w:ascii="宋体" w:hAnsi="宋体" w:eastAsia="宋体" w:cs="宋体"/>
          <w:b/>
          <w:color w:val="auto"/>
          <w:sz w:val="24"/>
          <w:szCs w:val="24"/>
        </w:rPr>
      </w:pPr>
    </w:p>
    <w:p>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残疾人福利性单位声明函</w:t>
      </w:r>
    </w:p>
    <w:p>
      <w:pPr>
        <w:spacing w:line="360" w:lineRule="auto"/>
        <w:ind w:firstLine="482" w:firstLineChars="200"/>
        <w:jc w:val="center"/>
        <w:rPr>
          <w:rFonts w:hint="eastAsia" w:ascii="宋体" w:hAnsi="宋体" w:eastAsia="宋体" w:cs="宋体"/>
          <w:b/>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pPr>
        <w:spacing w:line="360" w:lineRule="auto"/>
        <w:ind w:firstLine="3960" w:firstLineChars="1650"/>
        <w:rPr>
          <w:rFonts w:hint="eastAsia" w:ascii="宋体" w:hAnsi="宋体" w:eastAsia="宋体" w:cs="宋体"/>
          <w:color w:val="auto"/>
          <w:kern w:val="0"/>
          <w:sz w:val="24"/>
          <w:szCs w:val="24"/>
        </w:rPr>
      </w:pPr>
    </w:p>
    <w:p>
      <w:pPr>
        <w:spacing w:line="360" w:lineRule="auto"/>
        <w:ind w:firstLine="3960" w:firstLineChars="1650"/>
        <w:rPr>
          <w:rStyle w:val="159"/>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残疾人福利性</w:t>
      </w:r>
      <w:r>
        <w:rPr>
          <w:rFonts w:hint="eastAsia" w:ascii="宋体" w:hAnsi="宋体" w:eastAsia="宋体" w:cs="宋体"/>
          <w:color w:val="auto"/>
          <w:sz w:val="24"/>
          <w:szCs w:val="24"/>
        </w:rPr>
        <w:t>单位名称（盖章）：</w:t>
      </w:r>
    </w:p>
    <w:p>
      <w:pPr>
        <w:spacing w:line="360" w:lineRule="auto"/>
        <w:ind w:firstLine="3960" w:firstLineChars="1650"/>
        <w:rPr>
          <w:rFonts w:hint="eastAsia" w:ascii="宋体" w:hAnsi="宋体" w:eastAsia="宋体" w:cs="宋体"/>
          <w:color w:val="auto"/>
          <w:sz w:val="24"/>
          <w:szCs w:val="24"/>
        </w:rPr>
      </w:pPr>
      <w:r>
        <w:rPr>
          <w:rFonts w:hint="eastAsia" w:ascii="宋体" w:hAnsi="宋体" w:eastAsia="宋体" w:cs="宋体"/>
          <w:color w:val="auto"/>
          <w:sz w:val="24"/>
          <w:szCs w:val="24"/>
        </w:rPr>
        <w:t>日</w:t>
      </w:r>
      <w:r>
        <w:rPr>
          <w:rStyle w:val="159"/>
          <w:rFonts w:hint="eastAsia" w:ascii="宋体" w:hAnsi="宋体" w:eastAsia="宋体" w:cs="宋体"/>
          <w:color w:val="auto"/>
          <w:sz w:val="24"/>
          <w:szCs w:val="24"/>
        </w:rPr>
        <w:t> </w:t>
      </w:r>
      <w:r>
        <w:rPr>
          <w:rFonts w:hint="eastAsia" w:ascii="宋体" w:hAnsi="宋体" w:eastAsia="宋体" w:cs="宋体"/>
          <w:color w:val="auto"/>
          <w:sz w:val="24"/>
          <w:szCs w:val="24"/>
        </w:rPr>
        <w:t> 期：</w:t>
      </w:r>
    </w:p>
    <w:p>
      <w:pPr>
        <w:rPr>
          <w:rFonts w:hint="eastAsia" w:ascii="宋体" w:hAnsi="宋体" w:eastAsia="宋体" w:cs="宋体"/>
          <w:color w:val="auto"/>
        </w:rPr>
        <w:sectPr>
          <w:headerReference r:id="rId9" w:type="default"/>
          <w:footerReference r:id="rId10" w:type="default"/>
          <w:pgSz w:w="11906" w:h="16838"/>
          <w:pgMar w:top="1417" w:right="1588" w:bottom="1417" w:left="1365" w:header="851" w:footer="907" w:gutter="0"/>
          <w:cols w:space="720" w:num="1"/>
          <w:docGrid w:type="lines" w:linePitch="290" w:charSpace="0"/>
        </w:sectPr>
      </w:pPr>
    </w:p>
    <w:p>
      <w:pPr>
        <w:snapToGrid w:val="0"/>
        <w:spacing w:before="50" w:after="50"/>
        <w:rPr>
          <w:rFonts w:hint="eastAsia" w:ascii="宋体" w:hAnsi="宋体" w:eastAsia="宋体" w:cs="宋体"/>
          <w:color w:val="auto"/>
          <w:sz w:val="32"/>
          <w:szCs w:val="32"/>
        </w:rPr>
      </w:pPr>
      <w:bookmarkStart w:id="42" w:name="_Toc3073"/>
    </w:p>
    <w:p>
      <w:pPr>
        <w:snapToGrid w:val="0"/>
        <w:spacing w:before="50" w:after="50"/>
        <w:jc w:val="center"/>
        <w:outlineLvl w:val="0"/>
        <w:rPr>
          <w:rFonts w:hint="eastAsia" w:ascii="宋体" w:hAnsi="宋体" w:eastAsia="宋体" w:cs="宋体"/>
          <w:color w:val="auto"/>
          <w:sz w:val="32"/>
          <w:szCs w:val="32"/>
        </w:rPr>
      </w:pPr>
      <w:r>
        <w:rPr>
          <w:rFonts w:hint="eastAsia" w:ascii="宋体" w:hAnsi="宋体" w:eastAsia="宋体" w:cs="宋体"/>
          <w:color w:val="auto"/>
          <w:sz w:val="32"/>
          <w:szCs w:val="32"/>
        </w:rPr>
        <w:t>六、投标产品配置及分项报价表（格式）</w:t>
      </w:r>
      <w:bookmarkEnd w:id="42"/>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投标人全称（加盖公章）：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81"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43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065"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074"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21"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421"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681" w:type="dxa"/>
            <w:noWrap/>
            <w:vAlign w:val="center"/>
          </w:tcPr>
          <w:p>
            <w:pPr>
              <w:rPr>
                <w:rFonts w:hint="eastAsia" w:ascii="宋体" w:hAnsi="宋体" w:eastAsia="宋体" w:cs="宋体"/>
                <w:color w:val="auto"/>
                <w:sz w:val="24"/>
                <w:szCs w:val="24"/>
              </w:rPr>
            </w:pPr>
          </w:p>
        </w:tc>
        <w:tc>
          <w:tcPr>
            <w:tcW w:w="1439" w:type="dxa"/>
            <w:noWrap/>
            <w:vAlign w:val="center"/>
          </w:tcPr>
          <w:p>
            <w:pPr>
              <w:rPr>
                <w:rFonts w:hint="eastAsia" w:ascii="宋体" w:hAnsi="宋体" w:eastAsia="宋体" w:cs="宋体"/>
                <w:color w:val="auto"/>
                <w:sz w:val="24"/>
                <w:szCs w:val="24"/>
              </w:rPr>
            </w:pPr>
          </w:p>
        </w:tc>
        <w:tc>
          <w:tcPr>
            <w:tcW w:w="1065" w:type="dxa"/>
            <w:noWrap/>
            <w:vAlign w:val="center"/>
          </w:tcPr>
          <w:p>
            <w:pPr>
              <w:rPr>
                <w:rFonts w:hint="eastAsia" w:ascii="宋体" w:hAnsi="宋体" w:eastAsia="宋体" w:cs="宋体"/>
                <w:color w:val="auto"/>
                <w:sz w:val="24"/>
                <w:szCs w:val="24"/>
              </w:rPr>
            </w:pPr>
          </w:p>
        </w:tc>
        <w:tc>
          <w:tcPr>
            <w:tcW w:w="1074"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c>
          <w:tcPr>
            <w:tcW w:w="1421" w:type="dxa"/>
            <w:noWrap/>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8101" w:type="dxa"/>
            <w:gridSpan w:val="6"/>
            <w:noWrap/>
          </w:tcPr>
          <w:p>
            <w:pPr>
              <w:rPr>
                <w:rFonts w:hint="eastAsia" w:ascii="宋体" w:hAnsi="宋体" w:eastAsia="宋体" w:cs="宋体"/>
                <w:color w:val="auto"/>
                <w:sz w:val="24"/>
                <w:szCs w:val="24"/>
              </w:rPr>
            </w:pPr>
          </w:p>
        </w:tc>
      </w:tr>
    </w:tbl>
    <w:p>
      <w:pPr>
        <w:rPr>
          <w:rFonts w:hint="eastAsia" w:ascii="宋体" w:hAnsi="宋体" w:eastAsia="宋体" w:cs="宋体"/>
          <w:color w:val="auto"/>
        </w:rPr>
      </w:pPr>
      <w:r>
        <w:rPr>
          <w:rFonts w:hint="eastAsia" w:ascii="宋体" w:hAnsi="宋体" w:eastAsia="宋体" w:cs="宋体"/>
          <w:color w:val="auto"/>
          <w:sz w:val="24"/>
          <w:szCs w:val="24"/>
        </w:rPr>
        <w:t>法定代表人或授权代表签字：</w:t>
      </w:r>
    </w:p>
    <w:p>
      <w:pPr>
        <w:rPr>
          <w:rFonts w:hint="eastAsia" w:ascii="宋体" w:hAnsi="宋体" w:eastAsia="宋体" w:cs="宋体"/>
          <w:color w:val="auto"/>
          <w:sz w:val="24"/>
          <w:szCs w:val="24"/>
        </w:rPr>
      </w:pPr>
      <w:r>
        <w:rPr>
          <w:rFonts w:hint="eastAsia" w:ascii="宋体" w:hAnsi="宋体" w:eastAsia="宋体" w:cs="宋体"/>
          <w:color w:val="auto"/>
          <w:sz w:val="24"/>
          <w:szCs w:val="24"/>
        </w:rPr>
        <w:t>注：1、按照基本技术要求详细填列。</w:t>
      </w:r>
    </w:p>
    <w:p>
      <w:pPr>
        <w:numPr>
          <w:ilvl w:val="0"/>
          <w:numId w:val="10"/>
        </w:numPr>
        <w:rPr>
          <w:rFonts w:hint="eastAsia" w:ascii="宋体" w:hAnsi="宋体" w:eastAsia="宋体" w:cs="宋体"/>
          <w:color w:val="auto"/>
          <w:sz w:val="24"/>
          <w:szCs w:val="24"/>
        </w:rPr>
      </w:pPr>
      <w:r>
        <w:rPr>
          <w:rFonts w:hint="eastAsia" w:ascii="宋体" w:hAnsi="宋体" w:eastAsia="宋体" w:cs="宋体"/>
          <w:color w:val="auto"/>
          <w:sz w:val="24"/>
          <w:szCs w:val="24"/>
        </w:rPr>
        <w:t>行数不够，可自行添加。</w:t>
      </w:r>
    </w:p>
    <w:p>
      <w:pPr>
        <w:spacing w:line="360" w:lineRule="auto"/>
        <w:ind w:firstLine="480"/>
        <w:rPr>
          <w:rFonts w:hint="eastAsia" w:ascii="宋体" w:hAnsi="宋体" w:eastAsia="宋体" w:cs="宋体"/>
          <w:bCs/>
          <w:color w:val="auto"/>
          <w:sz w:val="24"/>
        </w:rPr>
      </w:pPr>
      <w:r>
        <w:rPr>
          <w:rFonts w:hint="eastAsia" w:ascii="宋体" w:hAnsi="宋体" w:eastAsia="宋体" w:cs="宋体"/>
          <w:bCs/>
          <w:color w:val="auto"/>
          <w:sz w:val="24"/>
        </w:rPr>
        <w:t>3、技术偏离表应针对项目需求逐条应答。</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jc w:val="left"/>
        <w:rPr>
          <w:rFonts w:hint="eastAsia" w:ascii="宋体" w:hAnsi="宋体" w:eastAsia="宋体" w:cs="宋体"/>
          <w:color w:val="auto"/>
          <w:sz w:val="32"/>
          <w:szCs w:val="32"/>
        </w:rPr>
      </w:pPr>
      <w:bookmarkStart w:id="43" w:name="_Hlt26955054"/>
      <w:bookmarkEnd w:id="43"/>
      <w:r>
        <w:rPr>
          <w:rFonts w:hint="eastAsia" w:ascii="宋体" w:hAnsi="宋体" w:eastAsia="宋体" w:cs="宋体"/>
          <w:color w:val="auto"/>
          <w:sz w:val="32"/>
          <w:szCs w:val="32"/>
        </w:rPr>
        <w:br w:type="page"/>
      </w:r>
    </w:p>
    <w:p>
      <w:pPr>
        <w:snapToGrid w:val="0"/>
        <w:spacing w:before="50" w:after="50"/>
        <w:jc w:val="center"/>
        <w:rPr>
          <w:rFonts w:hint="eastAsia" w:ascii="宋体" w:hAnsi="宋体" w:eastAsia="宋体" w:cs="宋体"/>
          <w:color w:val="auto"/>
          <w:sz w:val="32"/>
          <w:szCs w:val="32"/>
        </w:rPr>
      </w:pPr>
    </w:p>
    <w:p>
      <w:pPr>
        <w:snapToGrid w:val="0"/>
        <w:spacing w:before="50" w:after="50"/>
        <w:jc w:val="center"/>
        <w:outlineLvl w:val="0"/>
        <w:rPr>
          <w:rFonts w:hint="eastAsia" w:ascii="宋体" w:hAnsi="宋体" w:eastAsia="宋体" w:cs="宋体"/>
          <w:color w:val="auto"/>
          <w:sz w:val="32"/>
          <w:szCs w:val="32"/>
        </w:rPr>
      </w:pPr>
      <w:bookmarkStart w:id="44" w:name="_Toc17355"/>
      <w:r>
        <w:rPr>
          <w:rFonts w:hint="eastAsia" w:ascii="宋体" w:hAnsi="宋体" w:eastAsia="宋体" w:cs="宋体"/>
          <w:color w:val="auto"/>
          <w:sz w:val="32"/>
          <w:szCs w:val="32"/>
        </w:rPr>
        <w:t>七、技术参数响应及偏离表（如有）</w:t>
      </w:r>
      <w:bookmarkEnd w:id="44"/>
    </w:p>
    <w:p>
      <w:pPr>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52"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招标要求</w:t>
            </w:r>
          </w:p>
        </w:tc>
        <w:tc>
          <w:tcPr>
            <w:tcW w:w="2852"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308" w:type="dxa"/>
            <w:noWrap/>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超出、符合或偏离</w:t>
            </w:r>
          </w:p>
        </w:tc>
        <w:tc>
          <w:tcPr>
            <w:tcW w:w="1173"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2852" w:type="dxa"/>
            <w:noWrap/>
          </w:tcPr>
          <w:p>
            <w:pPr>
              <w:jc w:val="center"/>
              <w:rPr>
                <w:rFonts w:hint="eastAsia" w:ascii="宋体" w:hAnsi="宋体" w:eastAsia="宋体" w:cs="宋体"/>
                <w:color w:val="auto"/>
                <w:sz w:val="24"/>
                <w:szCs w:val="24"/>
              </w:rPr>
            </w:pPr>
          </w:p>
        </w:tc>
        <w:tc>
          <w:tcPr>
            <w:tcW w:w="1308" w:type="dxa"/>
            <w:noWrap/>
          </w:tcPr>
          <w:p>
            <w:pPr>
              <w:jc w:val="center"/>
              <w:rPr>
                <w:rFonts w:hint="eastAsia" w:ascii="宋体" w:hAnsi="宋体" w:eastAsia="宋体" w:cs="宋体"/>
                <w:color w:val="auto"/>
                <w:sz w:val="24"/>
                <w:szCs w:val="24"/>
              </w:rPr>
            </w:pPr>
          </w:p>
        </w:tc>
        <w:tc>
          <w:tcPr>
            <w:tcW w:w="1173" w:type="dxa"/>
            <w:noWrap/>
          </w:tcPr>
          <w:p>
            <w:pPr>
              <w:jc w:val="center"/>
              <w:rPr>
                <w:rFonts w:hint="eastAsia" w:ascii="宋体" w:hAnsi="宋体" w:eastAsia="宋体" w:cs="宋体"/>
                <w:color w:val="auto"/>
                <w:sz w:val="24"/>
                <w:szCs w:val="24"/>
              </w:rPr>
            </w:pP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注：1、按照基本技术要求详细填列。</w:t>
      </w:r>
    </w:p>
    <w:p>
      <w:pPr>
        <w:numPr>
          <w:ilvl w:val="0"/>
          <w:numId w:val="10"/>
        </w:numPr>
        <w:rPr>
          <w:rFonts w:hint="eastAsia" w:ascii="宋体" w:hAnsi="宋体" w:eastAsia="宋体" w:cs="宋体"/>
          <w:color w:val="auto"/>
          <w:sz w:val="24"/>
          <w:szCs w:val="24"/>
        </w:rPr>
      </w:pPr>
      <w:r>
        <w:rPr>
          <w:rFonts w:hint="eastAsia" w:ascii="宋体" w:hAnsi="宋体" w:eastAsia="宋体" w:cs="宋体"/>
          <w:color w:val="auto"/>
          <w:sz w:val="24"/>
          <w:szCs w:val="24"/>
        </w:rPr>
        <w:t>行数不够，可自行添加。</w:t>
      </w:r>
    </w:p>
    <w:p>
      <w:pPr>
        <w:spacing w:line="360" w:lineRule="auto"/>
        <w:ind w:firstLine="480"/>
        <w:rPr>
          <w:rFonts w:hint="eastAsia" w:ascii="宋体" w:hAnsi="宋体" w:eastAsia="宋体" w:cs="宋体"/>
          <w:bCs/>
          <w:color w:val="auto"/>
          <w:sz w:val="24"/>
        </w:rPr>
      </w:pPr>
      <w:r>
        <w:rPr>
          <w:rFonts w:hint="eastAsia" w:ascii="宋体" w:hAnsi="宋体" w:eastAsia="宋体" w:cs="宋体"/>
          <w:bCs/>
          <w:color w:val="auto"/>
          <w:sz w:val="24"/>
        </w:rPr>
        <w:t>3、技术偏离表应针对项目需求逐条应答。</w:t>
      </w:r>
    </w:p>
    <w:p>
      <w:pPr>
        <w:rPr>
          <w:rFonts w:hint="eastAsia" w:ascii="宋体" w:hAnsi="宋体" w:eastAsia="宋体" w:cs="宋体"/>
          <w:color w:val="auto"/>
          <w:sz w:val="24"/>
          <w:szCs w:val="24"/>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snapToGrid w:val="0"/>
        <w:spacing w:before="50" w:after="50"/>
        <w:jc w:val="center"/>
        <w:outlineLvl w:val="0"/>
        <w:rPr>
          <w:rFonts w:hint="eastAsia" w:ascii="宋体" w:hAnsi="宋体" w:eastAsia="宋体" w:cs="宋体"/>
          <w:color w:val="auto"/>
          <w:sz w:val="32"/>
          <w:szCs w:val="32"/>
        </w:rPr>
      </w:pPr>
      <w:bookmarkStart w:id="45" w:name="_Toc20796"/>
      <w:r>
        <w:rPr>
          <w:rFonts w:hint="eastAsia" w:ascii="宋体" w:hAnsi="宋体" w:eastAsia="宋体" w:cs="宋体"/>
          <w:color w:val="auto"/>
          <w:sz w:val="32"/>
          <w:szCs w:val="32"/>
        </w:rPr>
        <w:t>八、商务条款响应及偏离表（如有）</w:t>
      </w:r>
      <w:bookmarkEnd w:id="45"/>
    </w:p>
    <w:p>
      <w:pPr>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投标人全称（加盖公章）：        </w:t>
      </w:r>
    </w:p>
    <w:tbl>
      <w:tblPr>
        <w:tblStyle w:val="22"/>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rPr>
            </w:pPr>
            <w:r>
              <w:rPr>
                <w:rFonts w:hint="eastAsia" w:ascii="宋体" w:hAnsi="宋体" w:eastAsia="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rPr>
            </w:pPr>
          </w:p>
          <w:p>
            <w:pPr>
              <w:snapToGrid w:val="0"/>
              <w:spacing w:before="149" w:beforeLines="50"/>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rPr>
            </w:pPr>
            <w:r>
              <w:rPr>
                <w:rFonts w:hint="eastAsia" w:ascii="宋体" w:hAnsi="宋体" w:eastAsia="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rPr>
            </w:pPr>
          </w:p>
          <w:p>
            <w:pPr>
              <w:snapToGrid w:val="0"/>
              <w:spacing w:before="149" w:beforeLines="50"/>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p>
            <w:pPr>
              <w:snapToGrid w:val="0"/>
              <w:spacing w:before="149" w:beforeLines="5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rPr>
            </w:pPr>
            <w:r>
              <w:rPr>
                <w:rFonts w:hint="eastAsia" w:ascii="宋体" w:hAnsi="宋体" w:eastAsia="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r>
              <w:rPr>
                <w:rFonts w:hint="eastAsia" w:ascii="宋体" w:hAnsi="宋体" w:eastAsia="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hint="eastAsia" w:ascii="宋体" w:hAnsi="宋体" w:eastAsia="宋体" w:cs="宋体"/>
                <w:color w:val="auto"/>
                <w:sz w:val="24"/>
                <w:szCs w:val="20"/>
              </w:rPr>
            </w:pP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spacing w:line="480" w:lineRule="auto"/>
        <w:rPr>
          <w:rFonts w:hint="eastAsia" w:ascii="宋体" w:hAnsi="宋体" w:eastAsia="宋体" w:cs="宋体"/>
          <w:color w:val="auto"/>
          <w:sz w:val="30"/>
        </w:rPr>
      </w:pPr>
      <w:bookmarkStart w:id="46" w:name="_Hlt24879081"/>
      <w:bookmarkEnd w:id="46"/>
      <w:bookmarkStart w:id="47" w:name="_Hlt26671372"/>
      <w:bookmarkEnd w:id="47"/>
      <w:bookmarkStart w:id="48" w:name="_Hlt26782999"/>
      <w:bookmarkEnd w:id="48"/>
      <w:bookmarkStart w:id="49" w:name="_Hlt26609389"/>
      <w:bookmarkEnd w:id="49"/>
      <w:bookmarkStart w:id="50" w:name="_Hlt26671374"/>
      <w:bookmarkEnd w:id="50"/>
      <w:bookmarkStart w:id="51" w:name="_Hlt26955064"/>
      <w:bookmarkEnd w:id="51"/>
      <w:bookmarkStart w:id="52" w:name="_Hlt26955066"/>
      <w:bookmarkEnd w:id="52"/>
      <w:bookmarkStart w:id="53" w:name="_Hlt26580838"/>
      <w:bookmarkEnd w:id="53"/>
      <w:bookmarkStart w:id="54" w:name="_Hlt26671343"/>
      <w:bookmarkEnd w:id="54"/>
      <w:bookmarkStart w:id="55" w:name="_Hlt26609391"/>
      <w:bookmarkEnd w:id="55"/>
      <w:bookmarkStart w:id="56" w:name="_Hlt26955056"/>
      <w:bookmarkEnd w:id="56"/>
      <w:bookmarkStart w:id="57" w:name="_Toc462564146"/>
    </w:p>
    <w:p>
      <w:pPr>
        <w:pStyle w:val="8"/>
        <w:ind w:firstLine="0"/>
        <w:rPr>
          <w:rFonts w:hint="eastAsia" w:ascii="宋体" w:hAnsi="宋体" w:eastAsia="宋体" w:cs="宋体"/>
          <w:color w:val="auto"/>
          <w:sz w:val="24"/>
        </w:rPr>
      </w:pPr>
    </w:p>
    <w:p>
      <w:pPr>
        <w:snapToGrid w:val="0"/>
        <w:spacing w:before="50" w:after="50"/>
        <w:ind w:left="2520"/>
        <w:outlineLvl w:val="0"/>
        <w:rPr>
          <w:rFonts w:hint="eastAsia" w:ascii="宋体" w:hAnsi="宋体" w:eastAsia="宋体" w:cs="宋体"/>
          <w:color w:val="auto"/>
          <w:sz w:val="32"/>
          <w:szCs w:val="32"/>
        </w:rPr>
      </w:pPr>
      <w:r>
        <w:rPr>
          <w:rFonts w:hint="eastAsia" w:ascii="宋体" w:hAnsi="宋体" w:eastAsia="宋体" w:cs="宋体"/>
          <w:color w:val="auto"/>
          <w:sz w:val="32"/>
          <w:szCs w:val="32"/>
        </w:rPr>
        <w:br w:type="page"/>
      </w:r>
      <w:bookmarkStart w:id="58" w:name="_Toc8363"/>
      <w:r>
        <w:rPr>
          <w:rFonts w:hint="eastAsia" w:ascii="宋体" w:hAnsi="宋体" w:eastAsia="宋体" w:cs="宋体"/>
          <w:color w:val="auto"/>
          <w:sz w:val="32"/>
          <w:szCs w:val="32"/>
        </w:rPr>
        <w:t>九、技术方案、服务承诺等</w:t>
      </w:r>
      <w:bookmarkEnd w:id="57"/>
      <w:bookmarkEnd w:id="58"/>
      <w:bookmarkStart w:id="59" w:name="_格式2__法定代表人授权书"/>
      <w:bookmarkEnd w:id="59"/>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numPr>
          <w:ilvl w:val="0"/>
          <w:numId w:val="11"/>
        </w:numPr>
        <w:snapToGrid w:val="0"/>
        <w:spacing w:before="50" w:after="50"/>
        <w:outlineLvl w:val="0"/>
        <w:rPr>
          <w:rFonts w:hint="eastAsia" w:ascii="宋体" w:hAnsi="宋体" w:eastAsia="宋体" w:cs="宋体"/>
          <w:b/>
          <w:bCs/>
          <w:color w:val="auto"/>
        </w:rPr>
        <w:sectPr>
          <w:footerReference r:id="rId12" w:type="first"/>
          <w:footerReference r:id="rId11"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hint="eastAsia" w:ascii="宋体" w:hAnsi="宋体" w:eastAsia="宋体" w:cs="宋体"/>
          <w:color w:val="auto"/>
          <w:sz w:val="32"/>
        </w:rPr>
      </w:pPr>
      <w:bookmarkStart w:id="60" w:name="_Toc22033"/>
    </w:p>
    <w:p>
      <w:pPr>
        <w:spacing w:line="460" w:lineRule="exact"/>
        <w:ind w:firstLine="640" w:firstLineChars="200"/>
        <w:jc w:val="center"/>
        <w:outlineLvl w:val="0"/>
        <w:rPr>
          <w:rFonts w:hint="eastAsia" w:ascii="宋体" w:hAnsi="宋体" w:eastAsia="宋体" w:cs="宋体"/>
          <w:color w:val="auto"/>
          <w:sz w:val="32"/>
        </w:rPr>
      </w:pPr>
      <w:r>
        <w:rPr>
          <w:rFonts w:hint="eastAsia" w:ascii="宋体" w:hAnsi="宋体" w:eastAsia="宋体" w:cs="宋体"/>
          <w:color w:val="auto"/>
          <w:sz w:val="32"/>
        </w:rPr>
        <w:t>十、盐城市政府采购事前信用承诺书</w:t>
      </w:r>
      <w:bookmarkEnd w:id="60"/>
    </w:p>
    <w:p>
      <w:pPr>
        <w:spacing w:line="460" w:lineRule="exact"/>
        <w:ind w:firstLine="640" w:firstLineChars="200"/>
        <w:jc w:val="left"/>
        <w:rPr>
          <w:rFonts w:hint="eastAsia" w:ascii="宋体" w:hAnsi="宋体" w:eastAsia="宋体" w:cs="宋体"/>
          <w:color w:val="auto"/>
          <w:sz w:val="32"/>
        </w:rPr>
      </w:pP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（六）自觉接受政府、行业组织、社会公众、新闻舆论的监督；</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（八）本人已认真阅读了上述承诺，并向本单位员工作了宣传教育。</w:t>
      </w:r>
    </w:p>
    <w:p>
      <w:pPr>
        <w:adjustRightInd w:val="0"/>
        <w:snapToGrid w:val="0"/>
        <w:spacing w:line="360" w:lineRule="auto"/>
        <w:ind w:firstLine="480" w:firstLineChars="200"/>
        <w:jc w:val="left"/>
        <w:rPr>
          <w:rFonts w:hint="eastAsia" w:ascii="宋体" w:hAnsi="宋体" w:eastAsia="宋体" w:cs="宋体"/>
          <w:color w:val="auto"/>
          <w:sz w:val="24"/>
          <w:szCs w:val="24"/>
        </w:rPr>
      </w:pPr>
    </w:p>
    <w:p>
      <w:pPr>
        <w:adjustRightInd w:val="0"/>
        <w:snapToGrid w:val="0"/>
        <w:spacing w:line="360" w:lineRule="auto"/>
        <w:ind w:firstLine="480" w:firstLineChars="200"/>
        <w:jc w:val="center"/>
        <w:outlineLvl w:val="0"/>
        <w:rPr>
          <w:rFonts w:hint="eastAsia" w:ascii="宋体" w:hAnsi="宋体" w:eastAsia="宋体" w:cs="宋体"/>
          <w:color w:val="auto"/>
          <w:sz w:val="24"/>
          <w:szCs w:val="24"/>
        </w:rPr>
      </w:pPr>
      <w:bookmarkStart w:id="61" w:name="_Toc1790"/>
      <w:r>
        <w:rPr>
          <w:rFonts w:hint="eastAsia" w:ascii="宋体" w:hAnsi="宋体" w:eastAsia="宋体" w:cs="宋体"/>
          <w:color w:val="auto"/>
          <w:sz w:val="24"/>
          <w:szCs w:val="24"/>
        </w:rPr>
        <w:t>法定代表人签名：</w:t>
      </w:r>
      <w:bookmarkEnd w:id="61"/>
    </w:p>
    <w:p>
      <w:pPr>
        <w:adjustRightInd w:val="0"/>
        <w:snapToGrid w:val="0"/>
        <w:spacing w:line="360" w:lineRule="auto"/>
        <w:ind w:firstLine="480" w:firstLineChars="200"/>
        <w:jc w:val="center"/>
        <w:outlineLvl w:val="0"/>
        <w:rPr>
          <w:rFonts w:hint="eastAsia" w:ascii="宋体" w:hAnsi="宋体" w:eastAsia="宋体" w:cs="宋体"/>
          <w:color w:val="auto"/>
          <w:sz w:val="24"/>
          <w:szCs w:val="24"/>
        </w:rPr>
      </w:pPr>
      <w:bookmarkStart w:id="62" w:name="_Toc27882"/>
      <w:r>
        <w:rPr>
          <w:rFonts w:hint="eastAsia" w:ascii="宋体" w:hAnsi="宋体" w:eastAsia="宋体" w:cs="宋体"/>
          <w:color w:val="auto"/>
          <w:sz w:val="24"/>
          <w:szCs w:val="24"/>
        </w:rPr>
        <w:t>单位名称（盖章）：</w:t>
      </w:r>
      <w:bookmarkEnd w:id="62"/>
    </w:p>
    <w:p>
      <w:pPr>
        <w:adjustRightInd w:val="0"/>
        <w:snapToGrid w:val="0"/>
        <w:spacing w:line="360" w:lineRule="auto"/>
        <w:ind w:firstLine="480" w:firstLineChars="200"/>
        <w:jc w:val="center"/>
        <w:outlineLvl w:val="0"/>
        <w:rPr>
          <w:rFonts w:hint="eastAsia" w:ascii="宋体" w:hAnsi="宋体" w:eastAsia="宋体" w:cs="宋体"/>
          <w:color w:val="auto"/>
          <w:sz w:val="24"/>
          <w:szCs w:val="24"/>
        </w:rPr>
      </w:pPr>
      <w:bookmarkStart w:id="63" w:name="_Toc385"/>
      <w:r>
        <w:rPr>
          <w:rFonts w:hint="eastAsia" w:ascii="宋体" w:hAnsi="宋体" w:eastAsia="宋体" w:cs="宋体"/>
          <w:color w:val="auto"/>
          <w:sz w:val="24"/>
          <w:szCs w:val="24"/>
        </w:rPr>
        <w:t>年    月    日</w:t>
      </w:r>
      <w:bookmarkEnd w:id="63"/>
    </w:p>
    <w:p>
      <w:pPr>
        <w:pStyle w:val="141"/>
        <w:jc w:val="both"/>
        <w:rPr>
          <w:rStyle w:val="47"/>
          <w:rFonts w:hint="eastAsia" w:ascii="宋体" w:hAnsi="宋体" w:eastAsia="宋体" w:cs="宋体"/>
          <w:color w:val="auto"/>
        </w:rPr>
      </w:pPr>
    </w:p>
    <w:sectPr>
      <w:headerReference r:id="rId13" w:type="default"/>
      <w:footerReference r:id="rId14"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94" o:spid="_x0000_s309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pict>
        <v:shape id="_x0000_s3095" o:spid="_x0000_s309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p>
    <w:pPr>
      <w:pStyle w:val="17"/>
      <w:tabs>
        <w:tab w:val="left" w:pos="3531"/>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w:pict>
        <v:shape id="_x0000_s3096" o:spid="_x0000_s309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18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3097" o:spid="_x0000_s3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24</w:t>
                </w:r>
                <w:r>
                  <w:fldChar w:fldCharType="end"/>
                </w:r>
              </w:p>
            </w:txbxContent>
          </v:textbox>
        </v:shape>
      </w:pic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98" o:spid="_x0000_s309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99" o:spid="_x0000_s309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w: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17"/>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w:pict>
        <v:shape id="_x0000_s3100" o:spid="_x0000_s310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2022-000W招标文件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color w:val="000000" w:themeColor="text1"/>
        <w:spacing w:val="40"/>
        <w:kern w:val="2"/>
        <w:sz w:val="21"/>
      </w:rPr>
      <w:t>2022-00W</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2022-000W招标文件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17ED7"/>
    <w:multiLevelType w:val="singleLevel"/>
    <w:tmpl w:val="BE717ED7"/>
    <w:lvl w:ilvl="0" w:tentative="0">
      <w:start w:val="1"/>
      <w:numFmt w:val="decimal"/>
      <w:lvlText w:val="%1."/>
      <w:lvlJc w:val="left"/>
      <w:pPr>
        <w:tabs>
          <w:tab w:val="left" w:pos="312"/>
        </w:tabs>
        <w:ind w:left="0" w:firstLine="0"/>
      </w:pPr>
    </w:lvl>
  </w:abstractNum>
  <w:abstractNum w:abstractNumId="1">
    <w:nsid w:val="D306E330"/>
    <w:multiLevelType w:val="singleLevel"/>
    <w:tmpl w:val="D306E330"/>
    <w:lvl w:ilvl="0" w:tentative="0">
      <w:start w:val="2"/>
      <w:numFmt w:val="chineseCounting"/>
      <w:suff w:val="nothing"/>
      <w:lvlText w:val="（%1）"/>
      <w:lvlJc w:val="left"/>
      <w:pPr>
        <w:textAlignment w:val="baseline"/>
      </w:pPr>
    </w:lvl>
  </w:abstractNum>
  <w:abstractNum w:abstractNumId="2">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5">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6">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7">
    <w:nsid w:val="5A2B9532"/>
    <w:multiLevelType w:val="singleLevel"/>
    <w:tmpl w:val="5A2B9532"/>
    <w:lvl w:ilvl="0" w:tentative="0">
      <w:start w:val="2"/>
      <w:numFmt w:val="decimal"/>
      <w:suff w:val="space"/>
      <w:lvlText w:val="%1."/>
      <w:lvlJc w:val="left"/>
      <w:pPr>
        <w:ind w:left="0" w:firstLine="0"/>
      </w:pPr>
    </w:lvl>
  </w:abstractNum>
  <w:abstractNum w:abstractNumId="8">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abstractNum w:abstractNumId="9">
    <w:nsid w:val="6A087B0E"/>
    <w:multiLevelType w:val="multilevel"/>
    <w:tmpl w:val="6A087B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AB2157"/>
    <w:multiLevelType w:val="multilevel"/>
    <w:tmpl w:val="74AB21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
  </w:num>
  <w:num w:numId="3">
    <w:abstractNumId w:val="6"/>
  </w:num>
  <w:num w:numId="4">
    <w:abstractNumId w:val="1"/>
  </w:num>
  <w:num w:numId="5">
    <w:abstractNumId w:val="10"/>
  </w:num>
  <w:num w:numId="6">
    <w:abstractNumId w:val="9"/>
  </w:num>
  <w:num w:numId="7">
    <w:abstractNumId w:val="4"/>
  </w:num>
  <w:num w:numId="8">
    <w:abstractNumId w:val="7"/>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TIwNjlhNDUwYmY4Yzk5NTExM2UwMzQ4MzAyNTdmZDYifQ=="/>
  </w:docVars>
  <w:rsids>
    <w:rsidRoot w:val="00F868A9"/>
    <w:rsid w:val="00003AB4"/>
    <w:rsid w:val="00015667"/>
    <w:rsid w:val="00045760"/>
    <w:rsid w:val="000570EF"/>
    <w:rsid w:val="0007632E"/>
    <w:rsid w:val="00091821"/>
    <w:rsid w:val="00093028"/>
    <w:rsid w:val="000B38C7"/>
    <w:rsid w:val="0011280D"/>
    <w:rsid w:val="00112E78"/>
    <w:rsid w:val="00131057"/>
    <w:rsid w:val="00165627"/>
    <w:rsid w:val="001726A6"/>
    <w:rsid w:val="00177C98"/>
    <w:rsid w:val="001A2403"/>
    <w:rsid w:val="001D5807"/>
    <w:rsid w:val="00217C7C"/>
    <w:rsid w:val="00223C79"/>
    <w:rsid w:val="0023147C"/>
    <w:rsid w:val="00233923"/>
    <w:rsid w:val="00266784"/>
    <w:rsid w:val="00275521"/>
    <w:rsid w:val="002800DE"/>
    <w:rsid w:val="002A07A1"/>
    <w:rsid w:val="002C41D3"/>
    <w:rsid w:val="002C5D1F"/>
    <w:rsid w:val="00301756"/>
    <w:rsid w:val="003220F7"/>
    <w:rsid w:val="00335084"/>
    <w:rsid w:val="003367B6"/>
    <w:rsid w:val="00360929"/>
    <w:rsid w:val="003A223F"/>
    <w:rsid w:val="003A63FB"/>
    <w:rsid w:val="003A7ED9"/>
    <w:rsid w:val="003D4620"/>
    <w:rsid w:val="00410119"/>
    <w:rsid w:val="004112BF"/>
    <w:rsid w:val="00424E72"/>
    <w:rsid w:val="00426342"/>
    <w:rsid w:val="004269CB"/>
    <w:rsid w:val="00430CDA"/>
    <w:rsid w:val="004521C1"/>
    <w:rsid w:val="004558DC"/>
    <w:rsid w:val="00467A1B"/>
    <w:rsid w:val="00472486"/>
    <w:rsid w:val="00472EDC"/>
    <w:rsid w:val="004A24CE"/>
    <w:rsid w:val="004A66D9"/>
    <w:rsid w:val="004C48B9"/>
    <w:rsid w:val="004D2539"/>
    <w:rsid w:val="004D2FC9"/>
    <w:rsid w:val="004E2324"/>
    <w:rsid w:val="005B06C2"/>
    <w:rsid w:val="005F3329"/>
    <w:rsid w:val="00603550"/>
    <w:rsid w:val="00623144"/>
    <w:rsid w:val="006308FE"/>
    <w:rsid w:val="00637636"/>
    <w:rsid w:val="006C13AB"/>
    <w:rsid w:val="006C388E"/>
    <w:rsid w:val="006E3A7B"/>
    <w:rsid w:val="006F2344"/>
    <w:rsid w:val="00721560"/>
    <w:rsid w:val="00780C34"/>
    <w:rsid w:val="00791354"/>
    <w:rsid w:val="007B3E85"/>
    <w:rsid w:val="0081482D"/>
    <w:rsid w:val="00814D01"/>
    <w:rsid w:val="00855EEE"/>
    <w:rsid w:val="00860E15"/>
    <w:rsid w:val="00891713"/>
    <w:rsid w:val="008C14CD"/>
    <w:rsid w:val="008D617C"/>
    <w:rsid w:val="008E3DAB"/>
    <w:rsid w:val="00913371"/>
    <w:rsid w:val="009160DE"/>
    <w:rsid w:val="009218C6"/>
    <w:rsid w:val="00933194"/>
    <w:rsid w:val="009343EF"/>
    <w:rsid w:val="0097078B"/>
    <w:rsid w:val="009710B5"/>
    <w:rsid w:val="00984819"/>
    <w:rsid w:val="00994FB8"/>
    <w:rsid w:val="009C11B1"/>
    <w:rsid w:val="009F43B8"/>
    <w:rsid w:val="00A1183C"/>
    <w:rsid w:val="00A44862"/>
    <w:rsid w:val="00A6255B"/>
    <w:rsid w:val="00A63A39"/>
    <w:rsid w:val="00AA7C70"/>
    <w:rsid w:val="00AE15AF"/>
    <w:rsid w:val="00AE261D"/>
    <w:rsid w:val="00AF482F"/>
    <w:rsid w:val="00B357E1"/>
    <w:rsid w:val="00B715BD"/>
    <w:rsid w:val="00B719DD"/>
    <w:rsid w:val="00B8533E"/>
    <w:rsid w:val="00C05334"/>
    <w:rsid w:val="00C157C0"/>
    <w:rsid w:val="00C31CC3"/>
    <w:rsid w:val="00C8053C"/>
    <w:rsid w:val="00C85B11"/>
    <w:rsid w:val="00CB1BB5"/>
    <w:rsid w:val="00CB5B0D"/>
    <w:rsid w:val="00CC6812"/>
    <w:rsid w:val="00CC72B1"/>
    <w:rsid w:val="00D613B4"/>
    <w:rsid w:val="00D71667"/>
    <w:rsid w:val="00D75F94"/>
    <w:rsid w:val="00D94D43"/>
    <w:rsid w:val="00DD536A"/>
    <w:rsid w:val="00DF61E5"/>
    <w:rsid w:val="00E17522"/>
    <w:rsid w:val="00E4006C"/>
    <w:rsid w:val="00E52A70"/>
    <w:rsid w:val="00E918E1"/>
    <w:rsid w:val="00E9328D"/>
    <w:rsid w:val="00EA1A99"/>
    <w:rsid w:val="00EA2ECC"/>
    <w:rsid w:val="00EC1238"/>
    <w:rsid w:val="00ED76DF"/>
    <w:rsid w:val="00F05A81"/>
    <w:rsid w:val="00F539A2"/>
    <w:rsid w:val="00F661FE"/>
    <w:rsid w:val="00F868A9"/>
    <w:rsid w:val="00FA5B29"/>
    <w:rsid w:val="00FA774C"/>
    <w:rsid w:val="00FD0CEF"/>
    <w:rsid w:val="00FD7D94"/>
    <w:rsid w:val="00FF1275"/>
    <w:rsid w:val="00FF194A"/>
    <w:rsid w:val="00FF1BAF"/>
    <w:rsid w:val="031D3FA9"/>
    <w:rsid w:val="031F6792"/>
    <w:rsid w:val="057726A9"/>
    <w:rsid w:val="05E53B14"/>
    <w:rsid w:val="06AA3A95"/>
    <w:rsid w:val="077C4CBC"/>
    <w:rsid w:val="08FC324B"/>
    <w:rsid w:val="0B3C2ADA"/>
    <w:rsid w:val="0BA17C72"/>
    <w:rsid w:val="0D7B4325"/>
    <w:rsid w:val="0E261538"/>
    <w:rsid w:val="0F5541A7"/>
    <w:rsid w:val="10C01A15"/>
    <w:rsid w:val="11C53F90"/>
    <w:rsid w:val="12082FD7"/>
    <w:rsid w:val="1394626A"/>
    <w:rsid w:val="149D59A3"/>
    <w:rsid w:val="15EB1115"/>
    <w:rsid w:val="18041C24"/>
    <w:rsid w:val="1B7B3068"/>
    <w:rsid w:val="1B8C61BC"/>
    <w:rsid w:val="1BBA26B3"/>
    <w:rsid w:val="1BC2228E"/>
    <w:rsid w:val="1C4A5552"/>
    <w:rsid w:val="1EBA0E38"/>
    <w:rsid w:val="1F2B6305"/>
    <w:rsid w:val="2079293B"/>
    <w:rsid w:val="230A6FF9"/>
    <w:rsid w:val="23B833C4"/>
    <w:rsid w:val="24B6415E"/>
    <w:rsid w:val="25593628"/>
    <w:rsid w:val="27C52CB5"/>
    <w:rsid w:val="284E1359"/>
    <w:rsid w:val="2C5A7AC4"/>
    <w:rsid w:val="2CB92FDD"/>
    <w:rsid w:val="2E8C1CC3"/>
    <w:rsid w:val="2EB102D0"/>
    <w:rsid w:val="2EFB2475"/>
    <w:rsid w:val="31176B77"/>
    <w:rsid w:val="3744261E"/>
    <w:rsid w:val="3872122D"/>
    <w:rsid w:val="38CF3E86"/>
    <w:rsid w:val="39755785"/>
    <w:rsid w:val="3A8C4051"/>
    <w:rsid w:val="3B5326F5"/>
    <w:rsid w:val="3BCB58D4"/>
    <w:rsid w:val="3CB7686D"/>
    <w:rsid w:val="3D485F15"/>
    <w:rsid w:val="3E0269D2"/>
    <w:rsid w:val="3E0702BE"/>
    <w:rsid w:val="3F303CD4"/>
    <w:rsid w:val="400C5A23"/>
    <w:rsid w:val="40396E60"/>
    <w:rsid w:val="404E3DFB"/>
    <w:rsid w:val="4142108B"/>
    <w:rsid w:val="42557B5A"/>
    <w:rsid w:val="42F21984"/>
    <w:rsid w:val="452F2760"/>
    <w:rsid w:val="45FD7F57"/>
    <w:rsid w:val="466E4440"/>
    <w:rsid w:val="468F36CE"/>
    <w:rsid w:val="47071601"/>
    <w:rsid w:val="477544A9"/>
    <w:rsid w:val="4CDF4FD7"/>
    <w:rsid w:val="4D2F7C0C"/>
    <w:rsid w:val="4D8959A6"/>
    <w:rsid w:val="4E703810"/>
    <w:rsid w:val="4F406CEC"/>
    <w:rsid w:val="4FEA69E5"/>
    <w:rsid w:val="53E05B86"/>
    <w:rsid w:val="54B63317"/>
    <w:rsid w:val="59465A77"/>
    <w:rsid w:val="5C01420A"/>
    <w:rsid w:val="5C172F4C"/>
    <w:rsid w:val="5C2B17E4"/>
    <w:rsid w:val="5D51151E"/>
    <w:rsid w:val="5DAA3B58"/>
    <w:rsid w:val="5E284F41"/>
    <w:rsid w:val="620E4996"/>
    <w:rsid w:val="63483C8F"/>
    <w:rsid w:val="63E27DDC"/>
    <w:rsid w:val="65113350"/>
    <w:rsid w:val="67E64767"/>
    <w:rsid w:val="681206DC"/>
    <w:rsid w:val="683D76D2"/>
    <w:rsid w:val="687674CE"/>
    <w:rsid w:val="689E2536"/>
    <w:rsid w:val="69142D6C"/>
    <w:rsid w:val="692A771C"/>
    <w:rsid w:val="6B08451F"/>
    <w:rsid w:val="6BB04F86"/>
    <w:rsid w:val="6BFD6A7B"/>
    <w:rsid w:val="6EB62D31"/>
    <w:rsid w:val="6F370BF8"/>
    <w:rsid w:val="72BA3B44"/>
    <w:rsid w:val="73E906CA"/>
    <w:rsid w:val="74A5063C"/>
    <w:rsid w:val="752F59CE"/>
    <w:rsid w:val="756048F2"/>
    <w:rsid w:val="76561E01"/>
    <w:rsid w:val="76BE394D"/>
    <w:rsid w:val="76CB0355"/>
    <w:rsid w:val="7B2D3BB7"/>
    <w:rsid w:val="7B545202"/>
    <w:rsid w:val="7F076987"/>
    <w:rsid w:val="7FB02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6">
    <w:name w:val="heading 2"/>
    <w:basedOn w:val="5"/>
    <w:next w:val="1"/>
    <w:qFormat/>
    <w:uiPriority w:val="0"/>
    <w:pPr>
      <w:keepLines/>
      <w:spacing w:before="260" w:after="260" w:line="416" w:lineRule="auto"/>
      <w:outlineLvl w:val="1"/>
    </w:pPr>
    <w:rPr>
      <w:rFonts w:ascii="Arial" w:hAnsi="Arial" w:eastAsia="幼圆" w:cs="Arial"/>
      <w:sz w:val="44"/>
      <w:szCs w:val="44"/>
    </w:rPr>
  </w:style>
  <w:style w:type="paragraph" w:styleId="7">
    <w:name w:val="heading 3"/>
    <w:basedOn w:val="1"/>
    <w:next w:val="8"/>
    <w:qFormat/>
    <w:uiPriority w:val="1"/>
    <w:pPr>
      <w:spacing w:line="357" w:lineRule="exact"/>
      <w:ind w:left="774"/>
      <w:outlineLvl w:val="2"/>
    </w:pPr>
    <w:rPr>
      <w:b/>
      <w:bCs/>
      <w:sz w:val="28"/>
      <w:szCs w:val="28"/>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pPr>
  </w:style>
  <w:style w:type="paragraph" w:styleId="10">
    <w:name w:val="Body Text"/>
    <w:basedOn w:val="1"/>
    <w:next w:val="1"/>
    <w:qFormat/>
    <w:uiPriority w:val="1"/>
    <w:rPr>
      <w:sz w:val="28"/>
      <w:szCs w:val="28"/>
    </w:rPr>
  </w:style>
  <w:style w:type="paragraph" w:styleId="11">
    <w:name w:val="Block Text"/>
    <w:basedOn w:val="1"/>
    <w:qFormat/>
    <w:uiPriority w:val="99"/>
    <w:pPr>
      <w:spacing w:after="120"/>
      <w:ind w:left="1440" w:leftChars="700" w:right="1440" w:rightChars="700"/>
    </w:pPr>
  </w:style>
  <w:style w:type="paragraph" w:styleId="12">
    <w:name w:val="index 4"/>
    <w:basedOn w:val="1"/>
    <w:next w:val="1"/>
    <w:unhideWhenUsed/>
    <w:qFormat/>
    <w:uiPriority w:val="99"/>
    <w:pPr>
      <w:ind w:left="600" w:leftChars="600"/>
    </w:pPr>
    <w:rPr>
      <w:rFonts w:ascii="Verdana" w:hAnsi="Verdana"/>
      <w:szCs w:val="20"/>
    </w:r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ody Text Indent 2"/>
    <w:basedOn w:val="1"/>
    <w:qFormat/>
    <w:uiPriority w:val="0"/>
    <w:pPr>
      <w:ind w:firstLine="560" w:firstLineChars="200"/>
    </w:pPr>
    <w:rPr>
      <w:rFonts w:ascii="宋体" w:hAnsi="宋体" w:cs="Times New Roman"/>
      <w:sz w:val="28"/>
    </w:rPr>
  </w:style>
  <w:style w:type="paragraph" w:styleId="16">
    <w:name w:val="Balloon Text"/>
    <w:basedOn w:val="1"/>
    <w:link w:val="149"/>
    <w:qFormat/>
    <w:uiPriority w:val="0"/>
    <w:rPr>
      <w:sz w:val="18"/>
      <w:szCs w:val="18"/>
    </w:rPr>
  </w:style>
  <w:style w:type="paragraph" w:styleId="17">
    <w:name w:val="footer"/>
    <w:basedOn w:val="1"/>
    <w:link w:val="76"/>
    <w:qFormat/>
    <w:uiPriority w:val="0"/>
    <w:pPr>
      <w:tabs>
        <w:tab w:val="center" w:pos="4153"/>
        <w:tab w:val="right" w:pos="8306"/>
      </w:tabs>
      <w:snapToGrid w:val="0"/>
      <w:jc w:val="left"/>
    </w:pPr>
    <w:rPr>
      <w:sz w:val="18"/>
      <w:szCs w:val="18"/>
    </w:rPr>
  </w:style>
  <w:style w:type="paragraph" w:styleId="18">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w:basedOn w:val="10"/>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7"/>
    <w:qFormat/>
    <w:uiPriority w:val="0"/>
    <w:rPr>
      <w:kern w:val="2"/>
      <w:sz w:val="18"/>
      <w:szCs w:val="18"/>
    </w:rPr>
  </w:style>
  <w:style w:type="character" w:customStyle="1" w:styleId="77">
    <w:name w:val="页眉 字符"/>
    <w:link w:val="18"/>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6"/>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94"/>
    <customShpInfo spid="_x0000_s3095"/>
    <customShpInfo spid="_x0000_s3096"/>
    <customShpInfo spid="_x0000_s3097"/>
    <customShpInfo spid="_x0000_s3098"/>
    <customShpInfo spid="_x0000_s3099"/>
    <customShpInfo spid="_x0000_s3078"/>
    <customShpInfo spid="_x0000_s3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51286-60CC-475C-A95F-8AC35EEBE037}">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26710</Words>
  <Characters>29075</Characters>
  <Lines>235</Lines>
  <Paragraphs>66</Paragraphs>
  <TotalTime>100</TotalTime>
  <ScaleCrop>false</ScaleCrop>
  <LinksUpToDate>false</LinksUpToDate>
  <CharactersWithSpaces>31244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Samsung</cp:lastModifiedBy>
  <cp:lastPrinted>2022-11-29T08:39:00Z</cp:lastPrinted>
  <dcterms:modified xsi:type="dcterms:W3CDTF">2022-11-29T10:08:34Z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9F80F8BCDA0F4E60A5462450DFD83EA4</vt:lpwstr>
  </property>
</Properties>
</file>