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项目编号：2022-</w:t>
      </w:r>
      <w:r>
        <w:rPr>
          <w:rStyle w:val="47"/>
          <w:rFonts w:hint="eastAsia" w:ascii="宋体" w:hAnsi="宋体" w:cs="宋体"/>
          <w:b/>
          <w:sz w:val="36"/>
          <w:lang w:eastAsia="zh-CN"/>
        </w:rPr>
        <w:t>039</w:t>
      </w:r>
      <w:r>
        <w:rPr>
          <w:rStyle w:val="47"/>
          <w:rFonts w:hint="eastAsia" w:ascii="宋体" w:hAnsi="宋体" w:cs="宋体"/>
          <w:b/>
          <w:sz w:val="36"/>
        </w:rPr>
        <w:t>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项目名称：盐城工业职业技术学院智慧工地数字教学沙盘</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2022年1</w:t>
      </w:r>
      <w:r>
        <w:rPr>
          <w:rStyle w:val="47"/>
          <w:rFonts w:hint="eastAsia" w:ascii="宋体" w:hAnsi="宋体" w:cs="宋体"/>
          <w:sz w:val="36"/>
          <w:szCs w:val="36"/>
          <w:lang w:val="en-US" w:eastAsia="zh-CN"/>
        </w:rPr>
        <w:t>1</w:t>
      </w:r>
      <w:r>
        <w:rPr>
          <w:rStyle w:val="47"/>
          <w:rFonts w:hint="eastAsia" w:ascii="宋体" w:hAnsi="宋体" w:cs="宋体"/>
          <w:sz w:val="36"/>
          <w:szCs w:val="36"/>
        </w:rPr>
        <w:t>月</w:t>
      </w:r>
      <w:r>
        <w:rPr>
          <w:rStyle w:val="47"/>
          <w:rFonts w:hint="eastAsia" w:ascii="宋体" w:hAnsi="宋体" w:cs="宋体"/>
          <w:sz w:val="36"/>
          <w:szCs w:val="36"/>
          <w:lang w:val="en-US" w:eastAsia="zh-CN"/>
        </w:rPr>
        <w:t>9</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ascii="宋体" w:hAnsi="宋体" w:cs="宋体"/>
              <w:bCs/>
              <w:sz w:val="36"/>
              <w:szCs w:val="36"/>
            </w:rPr>
            <w:t>1</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ascii="宋体" w:hAnsi="宋体" w:cs="宋体"/>
              <w:sz w:val="36"/>
              <w:szCs w:val="36"/>
            </w:rPr>
            <w:t>5</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ascii="宋体" w:hAnsi="宋体" w:cs="宋体"/>
              <w:sz w:val="36"/>
              <w:szCs w:val="36"/>
            </w:rPr>
            <w:t>17</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ascii="宋体" w:hAnsi="宋体" w:cs="宋体"/>
              <w:sz w:val="36"/>
              <w:szCs w:val="36"/>
            </w:rPr>
            <w:t>17</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ascii="宋体" w:hAnsi="宋体" w:cs="宋体"/>
              <w:sz w:val="36"/>
              <w:szCs w:val="36"/>
            </w:rPr>
            <w:t>24</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ascii="宋体" w:hAnsi="宋体" w:cs="宋体"/>
              <w:sz w:val="36"/>
              <w:szCs w:val="36"/>
            </w:rPr>
            <w:t>31</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headerReference r:id="rId4" w:type="first"/>
              <w:footerReference r:id="rId5" w:type="first"/>
              <w:headerReference r:id="rId3" w:type="default"/>
              <w:pgSz w:w="11906" w:h="16838"/>
              <w:pgMar w:top="1418" w:right="1588" w:bottom="1418" w:left="1365" w:header="851" w:footer="907" w:gutter="0"/>
              <w:pgNumType w:fmt="decimal"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bookmarkStart w:id="61" w:name="_GoBack"/>
      <w:r>
        <w:rPr>
          <w:rStyle w:val="47"/>
          <w:rFonts w:hint="eastAsia" w:ascii="宋体" w:hAnsi="宋体" w:eastAsia="宋体" w:cs="宋体"/>
          <w:b/>
          <w:bCs/>
          <w:sz w:val="32"/>
          <w:szCs w:val="32"/>
        </w:rPr>
        <w:t>盐城工业职</w:t>
      </w:r>
      <w:bookmarkEnd w:id="61"/>
      <w:r>
        <w:rPr>
          <w:rStyle w:val="47"/>
          <w:rFonts w:hint="eastAsia" w:ascii="宋体" w:hAnsi="宋体" w:eastAsia="宋体" w:cs="宋体"/>
          <w:b/>
          <w:bCs/>
          <w:sz w:val="32"/>
          <w:szCs w:val="32"/>
        </w:rPr>
        <w:t>业技术学院智慧工地数字教学沙盘招标公告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盐城工业职业技术学院智慧工地数字教学沙盘</w:t>
      </w:r>
      <w:r>
        <w:rPr>
          <w:rStyle w:val="47"/>
          <w:rFonts w:hint="eastAsia" w:ascii="宋体" w:hAnsi="宋体" w:cs="宋体"/>
          <w:bCs/>
          <w:sz w:val="24"/>
          <w:szCs w:val="24"/>
        </w:rPr>
        <w:t>的潜在投标人应在“</w:t>
      </w:r>
      <w:r>
        <w:rPr>
          <w:rStyle w:val="47"/>
          <w:rFonts w:hint="eastAsia" w:ascii="宋体" w:hAnsi="宋体" w:cs="宋体"/>
          <w:bCs/>
          <w:sz w:val="24"/>
          <w:szCs w:val="24"/>
          <w:u w:val="single"/>
        </w:rPr>
        <w:t>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30</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15</w:t>
      </w:r>
      <w:r>
        <w:rPr>
          <w:rStyle w:val="47"/>
          <w:rFonts w:hint="eastAsia" w:ascii="宋体" w:hAnsi="宋体" w:cs="宋体"/>
          <w:bCs/>
          <w:sz w:val="24"/>
          <w:szCs w:val="24"/>
          <w:u w:val="single" w:color="000000"/>
        </w:rPr>
        <w:t>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2022-</w:t>
      </w:r>
      <w:r>
        <w:rPr>
          <w:rStyle w:val="47"/>
          <w:rFonts w:hint="eastAsia" w:ascii="宋体" w:hAnsi="宋体" w:cs="宋体"/>
          <w:sz w:val="24"/>
          <w:szCs w:val="24"/>
          <w:u w:val="single"/>
          <w:lang w:eastAsia="zh-CN"/>
        </w:rPr>
        <w:t>039</w:t>
      </w:r>
      <w:r>
        <w:rPr>
          <w:rStyle w:val="47"/>
          <w:rFonts w:hint="eastAsia" w:ascii="宋体" w:hAnsi="宋体" w:cs="宋体"/>
          <w:sz w:val="24"/>
          <w:szCs w:val="24"/>
          <w:u w:val="single"/>
        </w:rPr>
        <w:t>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盐城工业职业技术学院智慧工地数字教学沙盘</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20万元。</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盐城工业职业技术学院智慧工地数字教学沙盘的采购、供应、运输、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在签订合同后90个日历天内完成全部内容的服务工作。</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9</w:t>
      </w:r>
      <w:r>
        <w:rPr>
          <w:rFonts w:hint="eastAsia" w:ascii="宋体" w:hAnsi="宋体" w:cs="宋体"/>
          <w:bCs/>
          <w:sz w:val="24"/>
          <w:szCs w:val="24"/>
        </w:rPr>
        <w:t>日至2022年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21</w:t>
      </w:r>
      <w:r>
        <w:rPr>
          <w:rFonts w:hint="eastAsia" w:ascii="宋体" w:hAnsi="宋体" w:cs="宋体"/>
          <w:bCs/>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30</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15</w:t>
      </w:r>
      <w:r>
        <w:rPr>
          <w:rStyle w:val="47"/>
          <w:rFonts w:hint="eastAsia" w:ascii="宋体" w:hAnsi="宋体" w:cs="宋体"/>
          <w:bCs/>
          <w:sz w:val="24"/>
          <w:szCs w:val="24"/>
          <w:u w:val="single" w:color="000000"/>
        </w:rPr>
        <w:t>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地点：盐城工业职业技术学院（盐城市解放南路285号）后勤服务中心四楼402开标室。</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(一)因疫情防控需要，为确保校园安全，</w:t>
      </w:r>
      <w:r>
        <w:rPr>
          <w:rStyle w:val="47"/>
          <w:rFonts w:hint="eastAsia" w:asciiTheme="minorEastAsia" w:hAnsiTheme="minorEastAsia" w:eastAsiaTheme="minorEastAsia" w:cstheme="minorEastAsia"/>
          <w:b/>
          <w:bCs/>
          <w:sz w:val="24"/>
          <w:szCs w:val="24"/>
        </w:rPr>
        <w:t>投标人须持有48小时内核酸检测阴性证明</w:t>
      </w:r>
      <w:r>
        <w:rPr>
          <w:rStyle w:val="47"/>
          <w:rFonts w:hint="eastAsia" w:asciiTheme="minorEastAsia" w:hAnsiTheme="minorEastAsia" w:eastAsiaTheme="minorEastAsia" w:cstheme="minorEastAsia"/>
          <w:sz w:val="24"/>
          <w:szCs w:val="24"/>
        </w:rPr>
        <w:t>进入盐城工业职业技术学院校区时应服从下列疫情防控措施：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（1）投标前10天内与确诊/疑似病例或无症状感染者有密切接触的人员，以及与密切接触者接触的次密切接触者，一律不得进校。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（2）投标前10天内接触过境外归国人员（未解除隔离的），按次密切接触者处置，一律不得进校。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（8）各投标项目授权代表限1人进入校园，项目授权代表进入校园时须全程佩戴口罩，做好手部消毒及投标文件等消毒防护工作。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（10）投标人未如实报告个人信息，承担相应责任和法律后果，引发问题学校可取消其中标资格。</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请各投标人预留好相应时间，配合做好上述管控措施。</w:t>
      </w:r>
    </w:p>
    <w:p>
      <w:pPr>
        <w:numPr>
          <w:ilvl w:val="0"/>
          <w:numId w:val="4"/>
        </w:num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w:t>
      </w:r>
      <w:r>
        <w:rPr>
          <w:rStyle w:val="47"/>
          <w:rFonts w:hint="eastAsia" w:ascii="宋体" w:hAnsi="宋体" w:cs="宋体"/>
          <w:sz w:val="24"/>
          <w:szCs w:val="24"/>
          <w:lang w:val="en-US" w:eastAsia="zh-CN"/>
        </w:rPr>
        <w:t>吴</w:t>
      </w:r>
      <w:r>
        <w:rPr>
          <w:rStyle w:val="47"/>
          <w:rFonts w:hint="eastAsia" w:ascii="宋体" w:hAnsi="宋体" w:cs="宋体"/>
          <w:sz w:val="24"/>
          <w:szCs w:val="24"/>
        </w:rPr>
        <w:t>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联系电话：18761248293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8"/>
        <w:spacing w:before="0" w:after="0" w:line="240" w:lineRule="auto"/>
        <w:outlineLvl w:val="0"/>
        <w:rPr>
          <w:rStyle w:val="47"/>
          <w:rFonts w:ascii="宋体" w:hAnsi="宋体" w:eastAsia="宋体" w:cs="宋体"/>
          <w:b w:val="0"/>
          <w:bCs w:val="0"/>
        </w:rPr>
      </w:pPr>
      <w:bookmarkStart w:id="1" w:name="_Toc21663"/>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w:t>
      </w:r>
      <w:r>
        <w:rPr>
          <w:rStyle w:val="47"/>
          <w:rFonts w:hint="eastAsia" w:ascii="宋体" w:hAnsi="宋体" w:cs="宋体"/>
          <w:sz w:val="24"/>
          <w:szCs w:val="24"/>
          <w:lang w:eastAsia="zh-CN"/>
        </w:rPr>
        <w:t>039</w:t>
      </w:r>
      <w:r>
        <w:rPr>
          <w:rStyle w:val="47"/>
          <w:rFonts w:hint="eastAsia" w:ascii="宋体" w:hAnsi="宋体" w:cs="宋体"/>
          <w:sz w:val="24"/>
          <w:szCs w:val="24"/>
        </w:rPr>
        <w:t>元的直接按3</w:t>
      </w:r>
      <w:r>
        <w:rPr>
          <w:rStyle w:val="47"/>
          <w:rFonts w:hint="eastAsia" w:ascii="宋体" w:hAnsi="宋体" w:cs="宋体"/>
          <w:sz w:val="24"/>
          <w:szCs w:val="24"/>
          <w:lang w:eastAsia="zh-CN"/>
        </w:rPr>
        <w:t>039</w:t>
      </w:r>
      <w:r>
        <w:rPr>
          <w:rStyle w:val="47"/>
          <w:rFonts w:hint="eastAsia" w:ascii="宋体" w:hAnsi="宋体" w:cs="宋体"/>
          <w:sz w:val="24"/>
          <w:szCs w:val="24"/>
        </w:rPr>
        <w:t>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rPr>
      </w:pPr>
      <w:r>
        <w:rPr>
          <w:rStyle w:val="47"/>
          <w:rFonts w:hint="eastAsia" w:ascii="宋体" w:hAnsi="宋体" w:cs="宋体"/>
          <w:bCs/>
          <w:sz w:val="24"/>
          <w:szCs w:val="24"/>
        </w:rPr>
        <w:t>11.1</w:t>
      </w:r>
      <w:r>
        <w:rPr>
          <w:rFonts w:hint="eastAsia" w:ascii="宋体" w:hAnsi="宋体" w:cs="宋体"/>
          <w:color w:val="000000" w:themeColor="text1"/>
          <w:sz w:val="24"/>
          <w:szCs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2" w:name="_Hlt26954840"/>
      <w:bookmarkEnd w:id="2"/>
      <w:r>
        <w:rPr>
          <w:rFonts w:hint="eastAsia" w:ascii="宋体" w:hAnsi="宋体" w:cs="宋体"/>
          <w:color w:val="000000" w:themeColor="text1"/>
          <w:sz w:val="24"/>
          <w:szCs w:val="24"/>
        </w:rPr>
        <w:t>标人应按照招标文件规定格式填报投标配置与分项报价表</w:t>
      </w:r>
      <w:bookmarkStart w:id="3" w:name="_Hlt26670399"/>
      <w:bookmarkEnd w:id="3"/>
      <w:r>
        <w:rPr>
          <w:rFonts w:hint="eastAsia" w:ascii="宋体" w:hAnsi="宋体" w:cs="宋体"/>
          <w:color w:val="000000" w:themeColor="text1"/>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numPr>
          <w:ilvl w:val="0"/>
          <w:numId w:val="5"/>
        </w:numPr>
        <w:tabs>
          <w:tab w:val="left" w:pos="900"/>
        </w:tabs>
        <w:snapToGrid w:val="0"/>
        <w:spacing w:line="360" w:lineRule="auto"/>
        <w:ind w:firstLine="480" w:firstLineChars="200"/>
        <w:rPr>
          <w:rStyle w:val="47"/>
          <w:rFonts w:hint="eastAsia" w:ascii="宋体" w:hAnsi="宋体" w:cs="宋体"/>
          <w:bCs/>
          <w:sz w:val="24"/>
          <w:szCs w:val="24"/>
        </w:rPr>
      </w:pPr>
      <w:r>
        <w:rPr>
          <w:rStyle w:val="47"/>
          <w:rFonts w:hint="eastAsia" w:ascii="宋体" w:hAnsi="宋体" w:cs="宋体"/>
          <w:bCs/>
          <w:sz w:val="24"/>
          <w:szCs w:val="24"/>
        </w:rPr>
        <w:t>履约保证金</w:t>
      </w:r>
    </w:p>
    <w:p>
      <w:pPr>
        <w:numPr>
          <w:ilvl w:val="0"/>
          <w:numId w:val="0"/>
        </w:num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pStyle w:val="30"/>
      </w:pPr>
    </w:p>
    <w:p>
      <w:pPr>
        <w:pStyle w:val="31"/>
      </w:pPr>
    </w:p>
    <w:p/>
    <w:p>
      <w:pPr>
        <w:pStyle w:val="2"/>
      </w:pPr>
    </w:p>
    <w:p/>
    <w:p>
      <w:pPr>
        <w:pStyle w:val="2"/>
      </w:pPr>
    </w:p>
    <w:p/>
    <w:p>
      <w:pPr>
        <w:pStyle w:val="2"/>
      </w:pPr>
    </w:p>
    <w:p/>
    <w:p>
      <w:pPr>
        <w:pStyle w:val="2"/>
      </w:pPr>
    </w:p>
    <w:p/>
    <w:p>
      <w:pPr>
        <w:pStyle w:val="2"/>
      </w:pPr>
    </w:p>
    <w:p/>
    <w:p>
      <w:pPr>
        <w:pStyle w:val="2"/>
      </w:pPr>
    </w:p>
    <w:p/>
    <w:p>
      <w:pPr>
        <w:pStyle w:val="2"/>
      </w:pPr>
    </w:p>
    <w:p>
      <w:pPr>
        <w:pStyle w:val="21"/>
        <w:ind w:firstLine="0" w:firstLineChars="0"/>
        <w:rPr>
          <w:rStyle w:val="47"/>
          <w:rFonts w:cs="宋体"/>
          <w:b/>
          <w:sz w:val="44"/>
          <w:szCs w:val="21"/>
        </w:rPr>
      </w:pPr>
    </w:p>
    <w:p>
      <w:pPr>
        <w:pStyle w:val="2"/>
        <w:rPr>
          <w:rStyle w:val="47"/>
          <w:rFonts w:cs="宋体"/>
          <w:b/>
          <w:sz w:val="44"/>
          <w:szCs w:val="21"/>
        </w:rPr>
      </w:pPr>
    </w:p>
    <w:p>
      <w:pPr>
        <w:rPr>
          <w:rStyle w:val="47"/>
          <w:rFonts w:cs="宋体"/>
          <w:b/>
          <w:sz w:val="44"/>
        </w:rPr>
      </w:pPr>
    </w:p>
    <w:p>
      <w:pPr>
        <w:pStyle w:val="32"/>
        <w:ind w:left="1470" w:right="1470"/>
      </w:pPr>
    </w:p>
    <w:p>
      <w:pPr>
        <w:pStyle w:val="37"/>
        <w:outlineLvl w:val="0"/>
        <w:rPr>
          <w:rStyle w:val="47"/>
          <w:rFonts w:hint="eastAsia" w:ascii="宋体" w:hAnsi="宋体" w:eastAsia="宋体" w:cs="宋体"/>
          <w:b/>
          <w:sz w:val="44"/>
        </w:rPr>
      </w:pPr>
      <w:bookmarkStart w:id="4" w:name="_Toc19468"/>
    </w:p>
    <w:p>
      <w:pPr>
        <w:pStyle w:val="37"/>
        <w:outlineLvl w:val="0"/>
        <w:rPr>
          <w:rStyle w:val="47"/>
          <w:rFonts w:hint="eastAsia" w:ascii="宋体" w:hAnsi="宋体" w:eastAsia="宋体" w:cs="宋体"/>
          <w:b/>
          <w:sz w:val="44"/>
        </w:rPr>
      </w:pPr>
    </w:p>
    <w:p>
      <w:pPr>
        <w:pStyle w:val="37"/>
        <w:outlineLvl w:val="0"/>
        <w:rPr>
          <w:rStyle w:val="47"/>
          <w:rFonts w:hint="eastAsia" w:ascii="宋体" w:hAnsi="宋体" w:eastAsia="宋体" w:cs="宋体"/>
          <w:b/>
          <w:sz w:val="44"/>
        </w:rPr>
      </w:pPr>
    </w:p>
    <w:p>
      <w:pPr>
        <w:pStyle w:val="37"/>
        <w:jc w:val="both"/>
        <w:outlineLvl w:val="0"/>
        <w:rPr>
          <w:rStyle w:val="47"/>
          <w:rFonts w:hint="eastAsia" w:ascii="宋体" w:hAnsi="宋体" w:eastAsia="宋体" w:cs="宋体"/>
          <w:b/>
          <w:sz w:val="44"/>
        </w:rPr>
      </w:pPr>
    </w:p>
    <w:p>
      <w:pPr>
        <w:rPr>
          <w:rFonts w:hint="eastAsia"/>
        </w:rPr>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政府采购合同（货物格式）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盐城工业职业技术学院智慧工地数字教学沙盘</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盐城工业职业技术学院智慧工地数字教学沙盘</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rPr>
      </w:pPr>
      <w:r>
        <w:rPr>
          <w:rFonts w:hint="eastAsia"/>
          <w:b/>
          <w:color w:val="000000" w:themeColor="text1"/>
          <w:kern w:val="2"/>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bCs/>
          <w:color w:val="000000" w:themeColor="text1"/>
        </w:rPr>
        <w:t>2.1</w:t>
      </w:r>
      <w:r>
        <w:rPr>
          <w:rFonts w:hint="eastAsia"/>
          <w:color w:val="000000" w:themeColor="text1"/>
          <w:kern w:val="2"/>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八、服务期限</w:t>
      </w:r>
    </w:p>
    <w:p>
      <w:pPr>
        <w:pStyle w:val="19"/>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在签订合同后90个日历天内完成全部内容的服务工作。</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9.1交货期:在签订合同后90个日历天内完成全部内容的服务工作。</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10.1付款方式:招标范围内容全部完成并经安装调试、培训结束，验收合格后付总价的90%；余款一年后根据售后服务情况付总价的5%；验收合格满三年根据售后服务情况付总价的5%。</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十一、税费</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十三、项目验收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13.1</w:t>
      </w:r>
      <w:r>
        <w:rPr>
          <w:rFonts w:hint="eastAsia" w:ascii="宋体" w:hAnsi="宋体" w:cs="宋体"/>
          <w:color w:val="000000" w:themeColor="text1"/>
          <w:sz w:val="24"/>
          <w:szCs w:val="24"/>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13.2</w:t>
      </w:r>
      <w:r>
        <w:rPr>
          <w:rFonts w:hint="eastAsia" w:ascii="宋体" w:hAnsi="宋体" w:cs="宋体"/>
          <w:color w:val="000000" w:themeColor="text1"/>
          <w:sz w:val="24"/>
          <w:szCs w:val="24"/>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13.3</w:t>
      </w:r>
      <w:r>
        <w:rPr>
          <w:rFonts w:hint="eastAsia" w:ascii="宋体" w:hAnsi="宋体" w:cs="宋体"/>
          <w:color w:val="000000" w:themeColor="text1"/>
          <w:sz w:val="24"/>
          <w:szCs w:val="24"/>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13.4对</w:t>
      </w:r>
      <w:r>
        <w:rPr>
          <w:rFonts w:hint="eastAsia" w:ascii="宋体" w:hAnsi="宋体" w:cs="宋体"/>
          <w:color w:val="000000" w:themeColor="text1"/>
          <w:sz w:val="24"/>
          <w:szCs w:val="24"/>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13.5验</w:t>
      </w:r>
      <w:r>
        <w:rPr>
          <w:rFonts w:hint="eastAsia" w:ascii="宋体" w:hAnsi="宋体" w:cs="宋体"/>
          <w:color w:val="000000" w:themeColor="text1"/>
          <w:sz w:val="24"/>
          <w:szCs w:val="24"/>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十四、违约责任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headerReference r:id="rId6" w:type="default"/>
          <w:footerReference r:id="rId7" w:type="default"/>
          <w:pgSz w:w="11906" w:h="16838"/>
          <w:pgMar w:top="1418" w:right="1417" w:bottom="1418" w:left="1417" w:header="851" w:footer="907" w:gutter="0"/>
          <w:pgNumType w:fmt="decimal" w:start="1"/>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2" w:firstLineChars="200"/>
        <w:rPr>
          <w:rFonts w:ascii="宋体" w:hAnsi="宋体" w:cs="宋体"/>
          <w:b/>
          <w:bCs/>
          <w:color w:val="000000" w:themeColor="text1"/>
          <w:sz w:val="24"/>
          <w:szCs w:val="24"/>
        </w:rPr>
      </w:pPr>
      <w:bookmarkStart w:id="6" w:name="_Toc32259"/>
    </w:p>
    <w:p>
      <w:pPr>
        <w:pStyle w:val="19"/>
        <w:numPr>
          <w:ilvl w:val="0"/>
          <w:numId w:val="6"/>
        </w:numPr>
        <w:spacing w:before="0" w:beforeAutospacing="0" w:after="0" w:afterAutospacing="0"/>
        <w:rPr>
          <w:rFonts w:ascii="仿宋_GB2312" w:eastAsia="仿宋_GB2312"/>
          <w:b/>
          <w:bCs/>
          <w:sz w:val="28"/>
          <w:szCs w:val="28"/>
        </w:rPr>
      </w:pPr>
      <w:r>
        <w:rPr>
          <w:rFonts w:hint="eastAsia" w:ascii="仿宋_GB2312" w:eastAsia="仿宋_GB2312"/>
          <w:b/>
          <w:bCs/>
          <w:sz w:val="28"/>
          <w:szCs w:val="28"/>
        </w:rPr>
        <w:t>项目用途</w:t>
      </w:r>
    </w:p>
    <w:p>
      <w:pPr>
        <w:pStyle w:val="19"/>
        <w:spacing w:before="0" w:beforeAutospacing="0" w:after="0" w:afterAutospacing="0"/>
        <w:ind w:firstLine="480" w:firstLineChars="200"/>
        <w:rPr>
          <w:rFonts w:asciiTheme="minorEastAsia" w:hAnsiTheme="minorEastAsia" w:eastAsiaTheme="minorEastAsia"/>
        </w:rPr>
      </w:pPr>
      <w:r>
        <w:rPr>
          <w:rFonts w:hint="eastAsia" w:asciiTheme="minorEastAsia" w:hAnsiTheme="minorEastAsia" w:eastAsiaTheme="minorEastAsia"/>
          <w:color w:val="000000" w:themeColor="text1"/>
        </w:rPr>
        <w:t>拟采购的智慧工地数字教学沙盘可以让学生从中概览智慧工地的施工部署，包含土方、主体和装修各个阶段的智能化、信息化技术应用点,能通过仿真教学资源学习主要施工工艺，通过沉浸式交互完成安全体验和发现安全问题，提高学生的安全意识，学习重要节点构造、质量样板和质量工艺。通过虚实结合的先进教学手段，使学生在实验室中仿佛置身项目现场，深入全面学习并训练能力，进一步促进学生为今后的岗位实践提前做好准备</w:t>
      </w:r>
      <w:r>
        <w:rPr>
          <w:rFonts w:hint="eastAsia" w:asciiTheme="minorEastAsia" w:hAnsiTheme="minorEastAsia" w:eastAsiaTheme="minorEastAsia"/>
        </w:rPr>
        <w:t>。</w:t>
      </w:r>
    </w:p>
    <w:p>
      <w:pPr>
        <w:ind w:right="210"/>
        <w:jc w:val="left"/>
        <w:rPr>
          <w:rFonts w:ascii="仿宋" w:hAnsi="仿宋" w:eastAsia="仿宋" w:cs="宋体"/>
          <w:b/>
          <w:color w:val="000000"/>
          <w:sz w:val="28"/>
          <w:szCs w:val="28"/>
        </w:rPr>
      </w:pPr>
      <w:r>
        <w:rPr>
          <w:rFonts w:hint="eastAsia" w:ascii="仿宋" w:hAnsi="仿宋" w:eastAsia="仿宋" w:cs="宋体"/>
          <w:b/>
          <w:color w:val="000000"/>
          <w:sz w:val="28"/>
          <w:szCs w:val="28"/>
        </w:rPr>
        <w:t>二、售后服务及质保要求</w:t>
      </w:r>
    </w:p>
    <w:p>
      <w:pPr>
        <w:spacing w:line="500" w:lineRule="exact"/>
        <w:ind w:firstLine="480" w:firstLineChars="200"/>
        <w:jc w:val="left"/>
        <w:rPr>
          <w:rFonts w:cs="宋体"/>
          <w:bCs/>
          <w:color w:val="000000"/>
          <w:kern w:val="0"/>
          <w:sz w:val="24"/>
          <w:szCs w:val="28"/>
        </w:rPr>
      </w:pPr>
      <w:r>
        <w:rPr>
          <w:rFonts w:cs="宋体"/>
          <w:bCs/>
          <w:color w:val="000000"/>
          <w:kern w:val="0"/>
          <w:sz w:val="24"/>
          <w:szCs w:val="28"/>
        </w:rPr>
        <w:t>按照国家规定的标准和标书规定的标准执行。</w:t>
      </w:r>
    </w:p>
    <w:p>
      <w:pPr>
        <w:spacing w:line="500" w:lineRule="exact"/>
        <w:ind w:firstLine="480" w:firstLineChars="200"/>
        <w:jc w:val="left"/>
        <w:rPr>
          <w:rFonts w:cs="宋体"/>
          <w:bCs/>
          <w:color w:val="000000"/>
          <w:kern w:val="0"/>
          <w:sz w:val="24"/>
          <w:szCs w:val="28"/>
        </w:rPr>
      </w:pPr>
      <w:r>
        <w:rPr>
          <w:rFonts w:cs="宋体"/>
          <w:bCs/>
          <w:color w:val="000000"/>
          <w:kern w:val="0"/>
          <w:sz w:val="24"/>
          <w:szCs w:val="28"/>
        </w:rPr>
        <w:t>按招标文件规定的</w:t>
      </w:r>
      <w:r>
        <w:rPr>
          <w:rFonts w:hint="eastAsia" w:cs="宋体"/>
          <w:bCs/>
          <w:color w:val="000000"/>
          <w:kern w:val="0"/>
          <w:sz w:val="24"/>
          <w:szCs w:val="28"/>
        </w:rPr>
        <w:t>软件</w:t>
      </w:r>
      <w:r>
        <w:rPr>
          <w:rFonts w:cs="宋体"/>
          <w:bCs/>
          <w:color w:val="000000"/>
          <w:kern w:val="0"/>
          <w:sz w:val="24"/>
          <w:szCs w:val="28"/>
        </w:rPr>
        <w:t>技术要求、质量标准向采购方提供未经使用的全新产品。并向甲方提供质量保证书、出厂合格证。</w:t>
      </w:r>
    </w:p>
    <w:p>
      <w:pPr>
        <w:spacing w:line="500" w:lineRule="exact"/>
        <w:ind w:firstLine="480" w:firstLineChars="200"/>
        <w:jc w:val="left"/>
        <w:rPr>
          <w:rFonts w:cs="宋体"/>
          <w:bCs/>
          <w:color w:val="000000"/>
          <w:kern w:val="0"/>
          <w:sz w:val="24"/>
          <w:szCs w:val="28"/>
        </w:rPr>
      </w:pPr>
      <w:r>
        <w:rPr>
          <w:rFonts w:cs="宋体"/>
          <w:bCs/>
          <w:color w:val="000000"/>
          <w:kern w:val="0"/>
          <w:sz w:val="24"/>
          <w:szCs w:val="28"/>
        </w:rPr>
        <w:t>供应商提供的</w:t>
      </w:r>
      <w:r>
        <w:rPr>
          <w:rFonts w:hint="eastAsia" w:cs="宋体"/>
          <w:bCs/>
          <w:color w:val="000000"/>
          <w:kern w:val="0"/>
          <w:sz w:val="24"/>
          <w:szCs w:val="28"/>
        </w:rPr>
        <w:t>软件</w:t>
      </w:r>
      <w:r>
        <w:rPr>
          <w:rFonts w:cs="宋体"/>
          <w:bCs/>
          <w:color w:val="000000"/>
          <w:kern w:val="0"/>
          <w:sz w:val="24"/>
          <w:szCs w:val="28"/>
        </w:rPr>
        <w:t>在质保期内因本身的质量问题发生故障，乙方应负责免费维修。</w:t>
      </w:r>
      <w:r>
        <w:rPr>
          <w:rFonts w:hint="eastAsia" w:cs="宋体"/>
          <w:bCs/>
          <w:color w:val="000000"/>
          <w:kern w:val="0"/>
          <w:sz w:val="24"/>
          <w:szCs w:val="28"/>
        </w:rPr>
        <w:t>供应商应对提供的软件免费安装、免费调试、免费培训、免费提供软件学习资料。</w:t>
      </w:r>
    </w:p>
    <w:p>
      <w:pPr>
        <w:spacing w:line="500" w:lineRule="exact"/>
        <w:ind w:firstLine="480" w:firstLineChars="200"/>
        <w:jc w:val="left"/>
        <w:rPr>
          <w:rFonts w:cs="宋体"/>
          <w:bCs/>
          <w:color w:val="000000" w:themeColor="text1"/>
          <w:kern w:val="0"/>
          <w:sz w:val="24"/>
          <w:szCs w:val="28"/>
        </w:rPr>
      </w:pPr>
      <w:r>
        <w:rPr>
          <w:rFonts w:hint="eastAsia" w:cs="宋体"/>
          <w:bCs/>
          <w:color w:val="000000"/>
          <w:kern w:val="0"/>
          <w:sz w:val="24"/>
          <w:szCs w:val="28"/>
        </w:rPr>
        <w:t>软件</w:t>
      </w:r>
      <w:r>
        <w:rPr>
          <w:rFonts w:cs="宋体"/>
          <w:bCs/>
          <w:color w:val="000000"/>
          <w:kern w:val="0"/>
          <w:sz w:val="24"/>
          <w:szCs w:val="28"/>
        </w:rPr>
        <w:t>如在使用过程中发生质量问题，供应商应在接到采购方通知后24小时内到达</w:t>
      </w:r>
      <w:r>
        <w:rPr>
          <w:rFonts w:cs="宋体"/>
          <w:bCs/>
          <w:color w:val="000000" w:themeColor="text1"/>
          <w:kern w:val="0"/>
          <w:sz w:val="24"/>
          <w:szCs w:val="28"/>
        </w:rPr>
        <w:t>现场。</w:t>
      </w:r>
    </w:p>
    <w:p>
      <w:pPr>
        <w:spacing w:line="500" w:lineRule="exact"/>
        <w:ind w:firstLine="480" w:firstLineChars="200"/>
        <w:jc w:val="left"/>
        <w:rPr>
          <w:rFonts w:cs="宋体"/>
          <w:bCs/>
          <w:color w:val="000000" w:themeColor="text1"/>
          <w:kern w:val="0"/>
          <w:sz w:val="24"/>
          <w:szCs w:val="28"/>
        </w:rPr>
      </w:pPr>
      <w:r>
        <w:rPr>
          <w:rFonts w:hint="eastAsia" w:cs="宋体"/>
          <w:bCs/>
          <w:color w:val="000000" w:themeColor="text1"/>
          <w:kern w:val="0"/>
          <w:sz w:val="24"/>
          <w:szCs w:val="28"/>
        </w:rPr>
        <w:t>质保期五年，质保期内乙方应对软件免费升级，质保期满软件如需升级，升级费用不得超过软件合同价与当期价中较低值的10%。</w:t>
      </w:r>
    </w:p>
    <w:p>
      <w:pPr>
        <w:ind w:right="210"/>
        <w:jc w:val="left"/>
        <w:rPr>
          <w:rFonts w:ascii="仿宋" w:hAnsi="仿宋" w:eastAsia="仿宋" w:cs="宋体"/>
          <w:b/>
          <w:color w:val="000000"/>
          <w:sz w:val="28"/>
          <w:szCs w:val="28"/>
        </w:rPr>
      </w:pPr>
      <w:r>
        <w:rPr>
          <w:rFonts w:hint="eastAsia" w:ascii="仿宋" w:hAnsi="仿宋" w:eastAsia="仿宋" w:cs="宋体"/>
          <w:b/>
          <w:color w:val="000000"/>
          <w:sz w:val="28"/>
          <w:szCs w:val="28"/>
        </w:rPr>
        <w:t>三、项目具体技术要求</w:t>
      </w:r>
    </w:p>
    <w:tbl>
      <w:tblPr>
        <w:tblStyle w:val="2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37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widowControl w:val="0"/>
              <w:ind w:right="210"/>
              <w:jc w:val="center"/>
              <w:rPr>
                <w:rFonts w:ascii="仿宋" w:hAnsi="仿宋" w:eastAsia="仿宋" w:cs="宋体"/>
                <w:b/>
                <w:color w:val="000000"/>
              </w:rPr>
            </w:pPr>
            <w:r>
              <w:rPr>
                <w:rFonts w:hint="eastAsia" w:ascii="仿宋" w:hAnsi="仿宋" w:eastAsia="仿宋" w:cs="宋体"/>
                <w:b/>
                <w:color w:val="000000"/>
              </w:rPr>
              <w:t>设备名称</w:t>
            </w:r>
          </w:p>
        </w:tc>
        <w:tc>
          <w:tcPr>
            <w:tcW w:w="7371" w:type="dxa"/>
            <w:vAlign w:val="center"/>
          </w:tcPr>
          <w:p>
            <w:pPr>
              <w:widowControl w:val="0"/>
              <w:ind w:right="210"/>
              <w:jc w:val="center"/>
              <w:rPr>
                <w:rFonts w:ascii="仿宋" w:hAnsi="仿宋" w:eastAsia="仿宋" w:cs="宋体"/>
                <w:b/>
                <w:color w:val="000000"/>
              </w:rPr>
            </w:pPr>
            <w:r>
              <w:rPr>
                <w:rFonts w:hint="eastAsia" w:ascii="仿宋" w:hAnsi="仿宋" w:eastAsia="仿宋" w:cs="宋体"/>
                <w:b/>
                <w:color w:val="000000"/>
              </w:rPr>
              <w:t>技术要求</w:t>
            </w:r>
          </w:p>
        </w:tc>
        <w:tc>
          <w:tcPr>
            <w:tcW w:w="850" w:type="dxa"/>
            <w:vAlign w:val="center"/>
          </w:tcPr>
          <w:p>
            <w:pPr>
              <w:widowControl w:val="0"/>
              <w:ind w:right="210"/>
              <w:jc w:val="center"/>
              <w:rPr>
                <w:rFonts w:ascii="仿宋" w:hAnsi="仿宋" w:eastAsia="仿宋" w:cs="宋体"/>
                <w:b/>
                <w:color w:val="000000"/>
              </w:rPr>
            </w:pPr>
            <w:r>
              <w:rPr>
                <w:rFonts w:hint="eastAsia" w:ascii="仿宋" w:hAnsi="仿宋" w:eastAsia="仿宋" w:cs="宋体"/>
                <w:b/>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widowControl w:val="0"/>
              <w:ind w:right="210"/>
              <w:jc w:val="center"/>
              <w:rPr>
                <w:rFonts w:cs="宋体" w:asciiTheme="minorEastAsia" w:hAnsiTheme="minorEastAsia"/>
                <w:bCs/>
                <w:color w:val="000000"/>
              </w:rPr>
            </w:pPr>
            <w:r>
              <w:rPr>
                <w:rFonts w:hint="eastAsia" w:cs="宋体" w:asciiTheme="minorEastAsia" w:hAnsiTheme="minorEastAsia"/>
                <w:bCs/>
                <w:color w:val="000000"/>
              </w:rPr>
              <w:t>智慧工地数字教学沙盘</w:t>
            </w:r>
          </w:p>
        </w:tc>
        <w:tc>
          <w:tcPr>
            <w:tcW w:w="7371" w:type="dxa"/>
          </w:tcPr>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1.系统须具备单机版、网络版两种版本，支持在PC端和触控一体机上安装使用，支持与LED大屏连接，满足用户多场景化应用。</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 xml:space="preserve">2.支持用户以第一人称视角在工地场景内进行自主漫游行走，能进入工地场地内部多视角查看智慧工地和智能设施的细节。 </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3.系统支持鼠标移至智慧工地应用产品时，自动出现悬浮窗对该产品进行介绍说明，说明内容包括产品概述、产品架构和功能，方便学生对智慧工地应用产品进行的学习和理解。（须提供产品截图证明）</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4.系统支持不少于2套完整的智慧工地项目案例，含3D模型、图纸和数字资源，场景案例涵盖基坑区、材料堆场区、员工宿舍区、管理办公区、主体建造区等，支持用户多场景自由切换。（须提供产品截图证明）</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5.系统还原智慧工地的人、机、料、法、环的真实产品应用，涵盖不少于30个智慧工地产品应用教学点，可包含且不局限于AI无感考勤、移动巡更、塔基安全监控、扬尘噪音监测、实测实量、智慧工地云平台、无线WIFI安全教育、VR安全教育体验馆、环境监测、卸料平台报警、施工升降机安全监控管理、智能路灯、人员实名制、人员定位、红外入侵报警、烟感报警、易检、视频监控、智能广播、二维码应用、便捷式周界防护、深基坑监测、高支模监测、大体积混凝土测温、智能回弹仪、自动计量（地磅）、车辆管理、AI监控、AI数钢筋、机管大师、智能水电监测、AI防疫监测等。每个应用教学点都有相应知识内容讲解、真实案例视频、仿真模拟动画等教学资源。（须提供产品截图证明）</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6.系统包含智慧工地各阶段的虚拟仿真建造动画，根据项目真实建造进度进行虚拟建造，可展示施工准备、地基基础、主体结构、屋面工程、装饰装修、室外工程6个完整的建造阶段，包含智慧工地和施工工艺两方面的教学点，其中施工工艺相关教学点不少于110个。（提供产品演示证明）</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7.系统支持教师进行教学编辑，可对教学资源点进行增、删、改的个性化编辑，也可根据教师教学需求进行教学资源编辑，支持添加视频、PPT、图片等格式的教学资源。</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8.系统支持自动存档功能，方便用户对教学进度进行管理，同时支持教学资源列表，对可编辑的教学资源进行自我管理。</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9.系统支持施工现场的天气模拟，包含晴天、阴天、雨天的场景效果，同时支持白天到黑夜的效果切换。</w:t>
            </w:r>
          </w:p>
          <w:p>
            <w:pPr>
              <w:widowControl w:val="0"/>
              <w:ind w:right="210"/>
              <w:jc w:val="left"/>
              <w:rPr>
                <w:rFonts w:cs="宋体" w:asciiTheme="minorEastAsia" w:hAnsiTheme="minorEastAsia"/>
                <w:bCs/>
                <w:color w:val="000000"/>
              </w:rPr>
            </w:pPr>
            <w:r>
              <w:rPr>
                <w:rFonts w:hint="eastAsia" w:cs="宋体" w:asciiTheme="minorEastAsia" w:hAnsiTheme="minorEastAsia"/>
                <w:bCs/>
                <w:color w:val="000000"/>
              </w:rPr>
              <w:t>10.系统有软硬件整体安装部署方案，涵盖教学软件及教学资源硬盘和实体加密验证锁，有一套完整的软件资产。</w:t>
            </w:r>
          </w:p>
          <w:p>
            <w:pPr>
              <w:widowControl w:val="0"/>
              <w:ind w:right="210"/>
              <w:jc w:val="left"/>
              <w:rPr>
                <w:rFonts w:cs="宋体" w:asciiTheme="minorEastAsia" w:hAnsiTheme="minorEastAsia"/>
                <w:bCs/>
              </w:rPr>
            </w:pPr>
          </w:p>
        </w:tc>
        <w:tc>
          <w:tcPr>
            <w:tcW w:w="850" w:type="dxa"/>
            <w:vAlign w:val="center"/>
          </w:tcPr>
          <w:p>
            <w:pPr>
              <w:widowControl w:val="0"/>
              <w:ind w:right="210"/>
              <w:jc w:val="center"/>
              <w:rPr>
                <w:rFonts w:cs="宋体" w:asciiTheme="minorEastAsia" w:hAnsiTheme="minorEastAsia"/>
                <w:bCs/>
                <w:color w:val="000000"/>
              </w:rPr>
            </w:pPr>
            <w:r>
              <w:rPr>
                <w:rFonts w:hint="eastAsia" w:cs="宋体" w:asciiTheme="minorEastAsia" w:hAnsiTheme="minorEastAsia"/>
                <w:bCs/>
                <w:color w:val="000000"/>
              </w:rPr>
              <w:t>50节点网络版+1套单机版</w:t>
            </w:r>
          </w:p>
        </w:tc>
      </w:tr>
    </w:tbl>
    <w:p>
      <w:pPr>
        <w:spacing w:line="400" w:lineRule="exact"/>
        <w:jc w:val="left"/>
        <w:rPr>
          <w:rFonts w:ascii="宋体" w:hAnsi="宋体" w:cs="宋体"/>
          <w:b/>
          <w:color w:val="000000" w:themeColor="text1"/>
          <w:szCs w:val="24"/>
        </w:rPr>
      </w:pPr>
      <w:r>
        <w:rPr>
          <w:rFonts w:hint="eastAsia" w:ascii="宋体" w:hAnsi="宋体" w:cs="宋体"/>
          <w:b/>
          <w:color w:val="000000" w:themeColor="text1"/>
          <w:szCs w:val="24"/>
        </w:rPr>
        <w:t>备注：</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1、投标费用包括乙方安装、调试、培训、质保期服务、各项税费、交通费、管理费及合同实施过程中不可预见费用等。</w:t>
      </w:r>
    </w:p>
    <w:p>
      <w:pPr>
        <w:spacing w:line="360" w:lineRule="auto"/>
        <w:ind w:firstLine="210" w:firstLineChars="100"/>
        <w:rPr>
          <w:color w:val="000000" w:themeColor="text1"/>
        </w:rPr>
      </w:pPr>
      <w:r>
        <w:rPr>
          <w:rFonts w:hint="eastAsia" w:ascii="宋体" w:hAnsi="宋体" w:cs="宋体"/>
          <w:color w:val="000000" w:themeColor="text1"/>
        </w:rPr>
        <w:t>2、货物名称内容必须与投标文件中货物名称内容一致。</w:t>
      </w:r>
    </w:p>
    <w:p>
      <w:pPr>
        <w:spacing w:line="360" w:lineRule="auto"/>
        <w:ind w:firstLine="210" w:firstLineChars="100"/>
        <w:rPr>
          <w:color w:val="000000" w:themeColor="text1"/>
        </w:rPr>
      </w:pPr>
      <w:r>
        <w:rPr>
          <w:rFonts w:hint="eastAsia"/>
          <w:color w:val="000000" w:themeColor="text1"/>
        </w:rPr>
        <w:t>3、本项目需开具增值税专用发票。</w:t>
      </w:r>
    </w:p>
    <w:p>
      <w:pPr>
        <w:pStyle w:val="2"/>
        <w:ind w:firstLine="210" w:firstLineChars="100"/>
        <w:rPr>
          <w:color w:val="000000" w:themeColor="text1"/>
          <w:sz w:val="21"/>
          <w:szCs w:val="21"/>
        </w:rPr>
      </w:pPr>
      <w:bookmarkStart w:id="7" w:name="_Hlk117780199"/>
      <w:r>
        <w:rPr>
          <w:rFonts w:hint="eastAsia"/>
          <w:color w:val="000000" w:themeColor="text1"/>
          <w:sz w:val="21"/>
          <w:szCs w:val="21"/>
        </w:rPr>
        <w:t>4、投标人须提供响应本项目各条技术要求的软件操作界面截图或其他佐证材料以及技术参数偏离表。</w:t>
      </w:r>
    </w:p>
    <w:bookmarkEnd w:id="7"/>
    <w:p>
      <w:pPr>
        <w:pStyle w:val="90"/>
        <w:spacing w:before="290" w:after="290"/>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rFonts w:hint="eastAsia" w:ascii="宋体" w:hAnsi="宋体" w:cs="宋体"/>
          <w:bCs/>
          <w:sz w:val="24"/>
          <w:szCs w:val="24"/>
        </w:rPr>
        <w:fldChar w:fldCharType="begin"/>
      </w:r>
      <w:r>
        <w:rPr>
          <w:rFonts w:hint="eastAsia" w:ascii="宋体" w:hAnsi="宋体" w:cs="宋体"/>
          <w:bCs/>
          <w:sz w:val="24"/>
          <w:szCs w:val="24"/>
        </w:rPr>
        <w:instrText xml:space="preserve"> HYPERLINK "https://link.zhihu.com/?target=http://baike.baidu.com/view/89764.htm" \t "https://www.zhihu.com/question/_blank" </w:instrText>
      </w:r>
      <w:r>
        <w:rPr>
          <w:rFonts w:hint="eastAsia" w:ascii="宋体" w:hAnsi="宋体" w:cs="宋体"/>
          <w:bCs/>
          <w:sz w:val="24"/>
          <w:szCs w:val="24"/>
        </w:rP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rPr>
          <w:rFonts w:hint="eastAsia" w:ascii="宋体" w:hAnsi="宋体" w:cs="宋体"/>
          <w:bCs/>
          <w:sz w:val="24"/>
          <w:szCs w:val="24"/>
        </w:rPr>
        <w:fldChar w:fldCharType="begin"/>
      </w:r>
      <w:r>
        <w:rPr>
          <w:rFonts w:hint="eastAsia" w:ascii="宋体" w:hAnsi="宋体" w:cs="宋体"/>
          <w:bCs/>
          <w:sz w:val="24"/>
          <w:szCs w:val="24"/>
        </w:rPr>
        <w:instrText xml:space="preserve"> HYPERLINK "https://link.zhihu.com/?target=http://baike.baidu.com/view/1281780.htm" \t "https://www.zhihu.com/question/_blank" </w:instrText>
      </w:r>
      <w:r>
        <w:rPr>
          <w:rFonts w:hint="eastAsia" w:ascii="宋体" w:hAnsi="宋体" w:cs="宋体"/>
          <w:bCs/>
          <w:sz w:val="24"/>
          <w:szCs w:val="24"/>
        </w:rP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（3）企业标准请参照《关于印发中小企业划型标准规定的通知》（工信部联企业[2011]300号）文件规定自行填写。</w:t>
      </w:r>
      <w:r>
        <w:rPr>
          <w:rFonts w:hint="eastAsia" w:ascii="宋体" w:hAnsi="宋体" w:cs="宋体"/>
          <w:b/>
          <w:sz w:val="24"/>
          <w:szCs w:val="24"/>
        </w:rPr>
        <w:t>本采购标的的所属行业为软件和信息技术服务业</w:t>
      </w:r>
      <w:r>
        <w:rPr>
          <w:rFonts w:hint="eastAsia" w:ascii="宋体" w:hAnsi="宋体" w:cs="宋体"/>
          <w:bCs/>
          <w:sz w:val="24"/>
          <w:szCs w:val="24"/>
        </w:rPr>
        <w:t>。如未按要求填写，不得享受价格扣除。</w:t>
      </w:r>
    </w:p>
    <w:p>
      <w:pPr>
        <w:snapToGrid w:val="0"/>
        <w:spacing w:line="360" w:lineRule="auto"/>
        <w:ind w:firstLine="480" w:firstLineChars="200"/>
        <w:rPr>
          <w:rFonts w:ascii="宋体" w:hAnsi="宋体" w:cs="宋体"/>
          <w:b/>
          <w:sz w:val="24"/>
          <w:szCs w:val="24"/>
        </w:rPr>
      </w:pPr>
      <w:r>
        <w:rPr>
          <w:rFonts w:hint="eastAsia" w:ascii="宋体" w:hAnsi="宋体" w:cs="宋体"/>
          <w:bCs/>
          <w:sz w:val="24"/>
          <w:szCs w:val="24"/>
        </w:rPr>
        <w:t>（4）</w:t>
      </w: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
        <w:gridCol w:w="981"/>
        <w:gridCol w:w="1046"/>
        <w:gridCol w:w="7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05" w:type="dxa"/>
            <w:vAlign w:val="center"/>
          </w:tcPr>
          <w:p>
            <w:pPr>
              <w:jc w:val="center"/>
              <w:rPr>
                <w:color w:val="000000" w:themeColor="text1"/>
              </w:rPr>
            </w:pPr>
            <w:r>
              <w:rPr>
                <w:color w:val="000000" w:themeColor="text1"/>
              </w:rPr>
              <w:t>序号</w:t>
            </w:r>
          </w:p>
        </w:tc>
        <w:tc>
          <w:tcPr>
            <w:tcW w:w="981" w:type="dxa"/>
            <w:vAlign w:val="center"/>
          </w:tcPr>
          <w:p>
            <w:pPr>
              <w:jc w:val="center"/>
              <w:rPr>
                <w:color w:val="000000" w:themeColor="text1"/>
              </w:rPr>
            </w:pPr>
            <w:r>
              <w:rPr>
                <w:color w:val="000000" w:themeColor="text1"/>
              </w:rPr>
              <w:t>评分</w:t>
            </w:r>
          </w:p>
          <w:p>
            <w:pPr>
              <w:jc w:val="center"/>
              <w:rPr>
                <w:color w:val="000000" w:themeColor="text1"/>
              </w:rPr>
            </w:pPr>
            <w:r>
              <w:rPr>
                <w:color w:val="000000" w:themeColor="text1"/>
              </w:rPr>
              <w:t>因素</w:t>
            </w:r>
          </w:p>
        </w:tc>
        <w:tc>
          <w:tcPr>
            <w:tcW w:w="1046" w:type="dxa"/>
            <w:vAlign w:val="center"/>
          </w:tcPr>
          <w:p>
            <w:pPr>
              <w:jc w:val="center"/>
              <w:rPr>
                <w:color w:val="000000" w:themeColor="text1"/>
              </w:rPr>
            </w:pPr>
            <w:r>
              <w:rPr>
                <w:color w:val="000000" w:themeColor="text1"/>
              </w:rPr>
              <w:t>分值</w:t>
            </w:r>
          </w:p>
        </w:tc>
        <w:tc>
          <w:tcPr>
            <w:tcW w:w="7161" w:type="dxa"/>
            <w:vAlign w:val="center"/>
          </w:tcPr>
          <w:p>
            <w:pPr>
              <w:jc w:val="center"/>
              <w:rPr>
                <w:color w:val="000000" w:themeColor="text1"/>
              </w:rPr>
            </w:pPr>
            <w:r>
              <w:rPr>
                <w:color w:val="000000" w:themeColor="text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79" w:hRule="atLeast"/>
          <w:jc w:val="center"/>
        </w:trPr>
        <w:tc>
          <w:tcPr>
            <w:tcW w:w="305" w:type="dxa"/>
            <w:vAlign w:val="center"/>
          </w:tcPr>
          <w:p>
            <w:pPr>
              <w:jc w:val="center"/>
              <w:rPr>
                <w:color w:val="000000" w:themeColor="text1"/>
              </w:rPr>
            </w:pPr>
            <w:r>
              <w:rPr>
                <w:color w:val="000000" w:themeColor="text1"/>
              </w:rPr>
              <w:t>1</w:t>
            </w:r>
          </w:p>
        </w:tc>
        <w:tc>
          <w:tcPr>
            <w:tcW w:w="981" w:type="dxa"/>
            <w:vAlign w:val="center"/>
          </w:tcPr>
          <w:p>
            <w:pPr>
              <w:jc w:val="center"/>
              <w:rPr>
                <w:color w:val="000000" w:themeColor="text1"/>
              </w:rPr>
            </w:pPr>
            <w:r>
              <w:rPr>
                <w:color w:val="000000" w:themeColor="text1"/>
              </w:rPr>
              <w:t>价格部分</w:t>
            </w:r>
          </w:p>
          <w:p>
            <w:pPr>
              <w:rPr>
                <w:color w:val="000000" w:themeColor="text1"/>
              </w:rPr>
            </w:pPr>
            <w:r>
              <w:rPr>
                <w:rFonts w:hint="eastAsia"/>
                <w:color w:val="000000" w:themeColor="text1"/>
              </w:rPr>
              <w:t>（50分）</w:t>
            </w:r>
          </w:p>
        </w:tc>
        <w:tc>
          <w:tcPr>
            <w:tcW w:w="1046" w:type="dxa"/>
            <w:vAlign w:val="center"/>
          </w:tcPr>
          <w:p>
            <w:pPr>
              <w:jc w:val="center"/>
              <w:rPr>
                <w:color w:val="000000" w:themeColor="text1"/>
              </w:rPr>
            </w:pPr>
            <w:r>
              <w:rPr>
                <w:color w:val="000000" w:themeColor="text1"/>
              </w:rPr>
              <w:t>投标报价</w:t>
            </w:r>
          </w:p>
          <w:p>
            <w:pPr>
              <w:jc w:val="center"/>
              <w:rPr>
                <w:color w:val="000000" w:themeColor="text1"/>
              </w:rPr>
            </w:pPr>
            <w:r>
              <w:rPr>
                <w:color w:val="000000" w:themeColor="text1"/>
              </w:rPr>
              <w:t>（50分）</w:t>
            </w:r>
          </w:p>
        </w:tc>
        <w:tc>
          <w:tcPr>
            <w:tcW w:w="7161" w:type="dxa"/>
            <w:vAlign w:val="center"/>
          </w:tcPr>
          <w:p>
            <w:pPr>
              <w:spacing w:line="320" w:lineRule="exact"/>
              <w:ind w:firstLine="420" w:firstLineChars="200"/>
              <w:rPr>
                <w:rFonts w:ascii="宋体" w:hAnsi="宋体" w:cs="宋体"/>
                <w:color w:val="000000" w:themeColor="text1"/>
              </w:rPr>
            </w:pPr>
            <w:r>
              <w:rPr>
                <w:rFonts w:hint="eastAsia" w:ascii="宋体" w:hAnsi="宋体" w:cs="宋体"/>
                <w:color w:val="000000" w:themeColor="text1"/>
              </w:rPr>
              <w:t>所有有效投标报价中满足招标文件要求，价格最低的投标报价为评标基准价，其价格分为50分，其他投标人的价格分按照下列公式计算（计算结果四舍五入保留两位小数）。</w:t>
            </w:r>
          </w:p>
          <w:p>
            <w:pPr>
              <w:rPr>
                <w:color w:val="000000" w:themeColor="text1"/>
              </w:rPr>
            </w:pPr>
            <w:r>
              <w:rPr>
                <w:rFonts w:hint="eastAsia" w:ascii="宋体" w:hAnsi="宋体" w:cs="宋体"/>
                <w:color w:val="000000" w:themeColor="text1"/>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394" w:hRule="atLeast"/>
          <w:jc w:val="center"/>
        </w:trPr>
        <w:tc>
          <w:tcPr>
            <w:tcW w:w="305" w:type="dxa"/>
            <w:vMerge w:val="restart"/>
            <w:vAlign w:val="center"/>
          </w:tcPr>
          <w:p>
            <w:pPr>
              <w:jc w:val="center"/>
              <w:rPr>
                <w:color w:val="000000" w:themeColor="text1"/>
              </w:rPr>
            </w:pPr>
            <w:r>
              <w:rPr>
                <w:color w:val="000000" w:themeColor="text1"/>
              </w:rPr>
              <w:t>2</w:t>
            </w:r>
          </w:p>
        </w:tc>
        <w:tc>
          <w:tcPr>
            <w:tcW w:w="981" w:type="dxa"/>
            <w:vMerge w:val="restart"/>
            <w:vAlign w:val="center"/>
          </w:tcPr>
          <w:p>
            <w:pPr>
              <w:rPr>
                <w:color w:val="000000" w:themeColor="text1"/>
              </w:rPr>
            </w:pPr>
            <w:r>
              <w:rPr>
                <w:color w:val="000000" w:themeColor="text1"/>
              </w:rPr>
              <w:t>商务部分</w:t>
            </w:r>
          </w:p>
          <w:p>
            <w:pPr>
              <w:rPr>
                <w:color w:val="000000" w:themeColor="text1"/>
              </w:rPr>
            </w:pPr>
            <w:r>
              <w:rPr>
                <w:color w:val="000000" w:themeColor="text1"/>
              </w:rPr>
              <w:t>（20分）</w:t>
            </w:r>
          </w:p>
        </w:tc>
        <w:tc>
          <w:tcPr>
            <w:tcW w:w="1046" w:type="dxa"/>
            <w:vAlign w:val="center"/>
          </w:tcPr>
          <w:p>
            <w:pPr>
              <w:jc w:val="center"/>
              <w:rPr>
                <w:color w:val="000000" w:themeColor="text1"/>
              </w:rPr>
            </w:pPr>
            <w:r>
              <w:rPr>
                <w:rFonts w:hint="eastAsia"/>
                <w:color w:val="000000" w:themeColor="text1"/>
              </w:rPr>
              <w:t>技术安全保障</w:t>
            </w:r>
            <w:r>
              <w:rPr>
                <w:color w:val="000000" w:themeColor="text1"/>
              </w:rPr>
              <w:t>（5分）</w:t>
            </w:r>
          </w:p>
        </w:tc>
        <w:tc>
          <w:tcPr>
            <w:tcW w:w="7161" w:type="dxa"/>
            <w:vAlign w:val="center"/>
          </w:tcPr>
          <w:p>
            <w:pPr>
              <w:rPr>
                <w:color w:val="000000" w:themeColor="text1"/>
              </w:rPr>
            </w:pPr>
            <w:r>
              <w:rPr>
                <w:rFonts w:hint="eastAsia"/>
                <w:color w:val="000000" w:themeColor="text1"/>
              </w:rPr>
              <w:t>（1）具备有效期内的信息安全管理体系认证证书加2分。</w:t>
            </w:r>
          </w:p>
          <w:p>
            <w:pPr>
              <w:rPr>
                <w:color w:val="000000" w:themeColor="text1"/>
              </w:rPr>
            </w:pPr>
            <w:r>
              <w:rPr>
                <w:rFonts w:hint="eastAsia"/>
                <w:color w:val="000000" w:themeColor="text1"/>
              </w:rPr>
              <w:t>（2）具有信息系统安全等级保护备案证明二级及以上的加3分。</w:t>
            </w:r>
          </w:p>
          <w:p>
            <w:pPr>
              <w:rPr>
                <w:color w:val="000000" w:themeColor="text1"/>
              </w:rPr>
            </w:pPr>
            <w:r>
              <w:rPr>
                <w:rFonts w:hint="eastAsia"/>
                <w:color w:val="000000" w:themeColor="text1"/>
              </w:rPr>
              <w:t>评审依据：需提供证书扫描件加盖投标单位公章。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75" w:hRule="atLeast"/>
          <w:jc w:val="center"/>
        </w:trPr>
        <w:tc>
          <w:tcPr>
            <w:tcW w:w="305" w:type="dxa"/>
            <w:vMerge w:val="continue"/>
            <w:vAlign w:val="center"/>
          </w:tcPr>
          <w:p>
            <w:pPr>
              <w:rPr>
                <w:color w:val="000000" w:themeColor="text1"/>
              </w:rPr>
            </w:pPr>
          </w:p>
        </w:tc>
        <w:tc>
          <w:tcPr>
            <w:tcW w:w="981" w:type="dxa"/>
            <w:vMerge w:val="continue"/>
            <w:vAlign w:val="center"/>
          </w:tcPr>
          <w:p>
            <w:pPr>
              <w:rPr>
                <w:color w:val="000000" w:themeColor="text1"/>
              </w:rPr>
            </w:pPr>
          </w:p>
        </w:tc>
        <w:tc>
          <w:tcPr>
            <w:tcW w:w="1046" w:type="dxa"/>
            <w:vAlign w:val="center"/>
          </w:tcPr>
          <w:p>
            <w:pPr>
              <w:jc w:val="center"/>
              <w:rPr>
                <w:color w:val="000000" w:themeColor="text1"/>
              </w:rPr>
            </w:pPr>
            <w:r>
              <w:rPr>
                <w:color w:val="000000" w:themeColor="text1"/>
              </w:rPr>
              <w:t>软件升级</w:t>
            </w:r>
          </w:p>
          <w:p>
            <w:pPr>
              <w:jc w:val="center"/>
              <w:rPr>
                <w:color w:val="000000" w:themeColor="text1"/>
              </w:rPr>
            </w:pPr>
            <w:r>
              <w:rPr>
                <w:color w:val="000000" w:themeColor="text1"/>
              </w:rPr>
              <w:t>服务</w:t>
            </w:r>
          </w:p>
          <w:p>
            <w:pPr>
              <w:jc w:val="center"/>
              <w:rPr>
                <w:color w:val="000000" w:themeColor="text1"/>
              </w:rPr>
            </w:pPr>
            <w:r>
              <w:rPr>
                <w:color w:val="000000" w:themeColor="text1"/>
              </w:rPr>
              <w:t>（5分）</w:t>
            </w:r>
          </w:p>
        </w:tc>
        <w:tc>
          <w:tcPr>
            <w:tcW w:w="7161" w:type="dxa"/>
            <w:vAlign w:val="center"/>
          </w:tcPr>
          <w:p>
            <w:pPr>
              <w:rPr>
                <w:color w:val="000000" w:themeColor="text1"/>
              </w:rPr>
            </w:pPr>
            <w:r>
              <w:rPr>
                <w:rFonts w:hint="eastAsia"/>
                <w:color w:val="000000" w:themeColor="text1"/>
              </w:rPr>
              <w:t>（1）投标人提供的所有软件产品不涉及知识产权纠纷，质保期内软件不限版本不限次数升级和维护（不收取额外费用），投标人负责保修其产品及其附件（非收费上门服务），得3分；</w:t>
            </w:r>
          </w:p>
          <w:p>
            <w:pPr>
              <w:rPr>
                <w:color w:val="000000" w:themeColor="text1"/>
              </w:rPr>
            </w:pPr>
            <w:r>
              <w:rPr>
                <w:rFonts w:hint="eastAsia"/>
                <w:color w:val="000000" w:themeColor="text1"/>
              </w:rPr>
              <w:t>（2）如在质保期内投标人推出功能可替代招标人此次采购软件的新软件，投标人负责为招标人免费安装相同节点数的新产品，同时继续履行合同中约定的相关售后服务内容（不收取额外费用）；质保期外投标人推出功能可替代招标人此次采购软件的新软件，投标人负责为招标人安装相同节点数的新产品，费用不得超过原软件合同价与新软件当期价中较低值的10%，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1347" w:hRule="atLeast"/>
          <w:jc w:val="center"/>
        </w:trPr>
        <w:tc>
          <w:tcPr>
            <w:tcW w:w="305" w:type="dxa"/>
            <w:vMerge w:val="continue"/>
            <w:vAlign w:val="center"/>
          </w:tcPr>
          <w:p>
            <w:pPr>
              <w:rPr>
                <w:color w:val="000000" w:themeColor="text1"/>
              </w:rPr>
            </w:pPr>
          </w:p>
        </w:tc>
        <w:tc>
          <w:tcPr>
            <w:tcW w:w="981" w:type="dxa"/>
            <w:vMerge w:val="continue"/>
            <w:vAlign w:val="center"/>
          </w:tcPr>
          <w:p>
            <w:pPr>
              <w:rPr>
                <w:color w:val="000000" w:themeColor="text1"/>
              </w:rPr>
            </w:pPr>
          </w:p>
        </w:tc>
        <w:tc>
          <w:tcPr>
            <w:tcW w:w="1046" w:type="dxa"/>
            <w:vAlign w:val="center"/>
          </w:tcPr>
          <w:p>
            <w:pPr>
              <w:jc w:val="center"/>
              <w:rPr>
                <w:color w:val="000000" w:themeColor="text1"/>
              </w:rPr>
            </w:pPr>
            <w:r>
              <w:rPr>
                <w:color w:val="000000" w:themeColor="text1"/>
              </w:rPr>
              <w:t>售后服务方面其他承诺</w:t>
            </w:r>
          </w:p>
          <w:p>
            <w:pPr>
              <w:jc w:val="center"/>
              <w:rPr>
                <w:color w:val="000000" w:themeColor="text1"/>
              </w:rPr>
            </w:pPr>
            <w:r>
              <w:rPr>
                <w:color w:val="000000" w:themeColor="text1"/>
              </w:rPr>
              <w:t>（2分）</w:t>
            </w:r>
          </w:p>
        </w:tc>
        <w:tc>
          <w:tcPr>
            <w:tcW w:w="7161" w:type="dxa"/>
            <w:vAlign w:val="center"/>
          </w:tcPr>
          <w:p>
            <w:pPr>
              <w:rPr>
                <w:color w:val="000000" w:themeColor="text1"/>
              </w:rPr>
            </w:pPr>
            <w:r>
              <w:rPr>
                <w:rFonts w:hint="eastAsia"/>
                <w:color w:val="000000" w:themeColor="text1"/>
              </w:rPr>
              <w:t>（1）售后服务方案具体明确，针对性强，售后服务人员能力强，服务体系完整度高，保障性强，有具体的服务承诺及违约责任措施的得</w:t>
            </w:r>
            <w:r>
              <w:rPr>
                <w:rFonts w:hint="eastAsia"/>
                <w:color w:val="000000" w:themeColor="text1"/>
                <w:lang w:val="en-US" w:eastAsia="zh-CN"/>
              </w:rPr>
              <w:t>1（不含）-2</w:t>
            </w:r>
            <w:r>
              <w:rPr>
                <w:rFonts w:hint="eastAsia"/>
                <w:color w:val="000000" w:themeColor="text1"/>
              </w:rPr>
              <w:t>分。</w:t>
            </w:r>
          </w:p>
          <w:p>
            <w:pPr>
              <w:rPr>
                <w:color w:val="000000" w:themeColor="text1"/>
              </w:rPr>
            </w:pPr>
            <w:r>
              <w:rPr>
                <w:rFonts w:hint="eastAsia"/>
                <w:color w:val="000000" w:themeColor="text1"/>
              </w:rPr>
              <w:t>（2）具有售后服务方案，针对性差，售后服务体系完整度及保障性差，无售后服务承诺及违约责任措施的得0-1分。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296" w:hRule="atLeast"/>
          <w:jc w:val="center"/>
        </w:trPr>
        <w:tc>
          <w:tcPr>
            <w:tcW w:w="305" w:type="dxa"/>
            <w:vMerge w:val="continue"/>
            <w:vAlign w:val="center"/>
          </w:tcPr>
          <w:p>
            <w:pPr>
              <w:rPr>
                <w:color w:val="000000" w:themeColor="text1"/>
              </w:rPr>
            </w:pPr>
          </w:p>
        </w:tc>
        <w:tc>
          <w:tcPr>
            <w:tcW w:w="981" w:type="dxa"/>
            <w:vMerge w:val="continue"/>
            <w:vAlign w:val="center"/>
          </w:tcPr>
          <w:p>
            <w:pPr>
              <w:rPr>
                <w:color w:val="000000" w:themeColor="text1"/>
              </w:rPr>
            </w:pPr>
          </w:p>
        </w:tc>
        <w:tc>
          <w:tcPr>
            <w:tcW w:w="1046" w:type="dxa"/>
            <w:vAlign w:val="center"/>
          </w:tcPr>
          <w:p>
            <w:pPr>
              <w:jc w:val="center"/>
              <w:rPr>
                <w:color w:val="000000" w:themeColor="text1"/>
              </w:rPr>
            </w:pPr>
            <w:r>
              <w:rPr>
                <w:color w:val="000000" w:themeColor="text1"/>
              </w:rPr>
              <w:t>公司</w:t>
            </w:r>
            <w:r>
              <w:rPr>
                <w:rFonts w:hint="eastAsia"/>
                <w:color w:val="000000" w:themeColor="text1"/>
              </w:rPr>
              <w:t>实力</w:t>
            </w:r>
          </w:p>
          <w:p>
            <w:pPr>
              <w:jc w:val="center"/>
              <w:rPr>
                <w:color w:val="000000" w:themeColor="text1"/>
              </w:rPr>
            </w:pPr>
            <w:r>
              <w:rPr>
                <w:color w:val="000000" w:themeColor="text1"/>
              </w:rPr>
              <w:t>（5分）</w:t>
            </w:r>
          </w:p>
        </w:tc>
        <w:tc>
          <w:tcPr>
            <w:tcW w:w="7161" w:type="dxa"/>
            <w:vAlign w:val="center"/>
          </w:tcPr>
          <w:p>
            <w:pPr>
              <w:rPr>
                <w:color w:val="000000" w:themeColor="text1"/>
              </w:rPr>
            </w:pPr>
            <w:r>
              <w:rPr>
                <w:rFonts w:hint="eastAsia"/>
                <w:color w:val="000000" w:themeColor="text1"/>
              </w:rPr>
              <w:t>（1）取得与本项目相关的专利、软件著作权，其中发明专利每项得1分，软件著作权每项得0.5分，总分不超过2分。</w:t>
            </w:r>
          </w:p>
          <w:p>
            <w:pPr>
              <w:rPr>
                <w:color w:val="000000" w:themeColor="text1"/>
              </w:rPr>
            </w:pPr>
            <w:r>
              <w:rPr>
                <w:rFonts w:hint="eastAsia"/>
                <w:color w:val="000000" w:themeColor="text1"/>
              </w:rPr>
              <w:t>（2）提供信用评级机构出具的信用评级报告为AAA级的得1分；</w:t>
            </w:r>
          </w:p>
          <w:p>
            <w:pPr>
              <w:rPr>
                <w:color w:val="000000" w:themeColor="text1"/>
              </w:rPr>
            </w:pPr>
            <w:r>
              <w:rPr>
                <w:rFonts w:hint="eastAsia"/>
                <w:color w:val="000000" w:themeColor="text1"/>
              </w:rPr>
              <w:t>（3）</w:t>
            </w:r>
            <w:r>
              <w:rPr>
                <w:rFonts w:hint="eastAsia" w:ascii="宋体" w:hAnsi="宋体"/>
                <w:color w:val="000000" w:themeColor="text1"/>
              </w:rPr>
              <w:t>通过高新技术企业认证</w:t>
            </w:r>
            <w:r>
              <w:rPr>
                <w:rFonts w:hint="eastAsia"/>
                <w:color w:val="000000" w:themeColor="text1"/>
              </w:rPr>
              <w:t>得1分；</w:t>
            </w:r>
          </w:p>
          <w:p>
            <w:pPr>
              <w:pStyle w:val="6"/>
              <w:spacing w:before="0" w:after="0" w:line="240" w:lineRule="auto"/>
              <w:rPr>
                <w:rFonts w:ascii="宋体" w:hAnsi="宋体" w:eastAsia="宋体"/>
                <w:b w:val="0"/>
                <w:bCs w:val="0"/>
                <w:color w:val="000000" w:themeColor="text1"/>
                <w:sz w:val="21"/>
                <w:szCs w:val="21"/>
              </w:rPr>
            </w:pPr>
            <w:r>
              <w:rPr>
                <w:rFonts w:hint="eastAsia" w:ascii="宋体" w:hAnsi="宋体" w:eastAsia="宋体"/>
                <w:b w:val="0"/>
                <w:bCs w:val="0"/>
                <w:color w:val="000000" w:themeColor="text1"/>
                <w:sz w:val="21"/>
                <w:szCs w:val="21"/>
              </w:rPr>
              <w:t>（4）具有软件企业认定证书得1分。</w:t>
            </w:r>
          </w:p>
          <w:p>
            <w:pPr>
              <w:pStyle w:val="6"/>
              <w:spacing w:before="0" w:after="0" w:line="240" w:lineRule="auto"/>
              <w:rPr>
                <w:rFonts w:ascii="宋体" w:hAnsi="宋体" w:eastAsia="宋体"/>
                <w:b w:val="0"/>
                <w:bCs w:val="0"/>
                <w:color w:val="000000" w:themeColor="text1"/>
                <w:sz w:val="21"/>
                <w:szCs w:val="21"/>
              </w:rPr>
            </w:pPr>
            <w:r>
              <w:rPr>
                <w:rFonts w:hint="eastAsia" w:ascii="Times New Roman" w:hAnsi="Times New Roman" w:eastAsiaTheme="minorEastAsia"/>
                <w:b w:val="0"/>
                <w:bCs w:val="0"/>
                <w:color w:val="000000" w:themeColor="text1"/>
                <w:sz w:val="21"/>
                <w:szCs w:val="22"/>
              </w:rPr>
              <w:t>（以上提供相关证明材料复印件并加盖投标单位公章，不提供的不得分）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987" w:hRule="atLeast"/>
          <w:jc w:val="center"/>
        </w:trPr>
        <w:tc>
          <w:tcPr>
            <w:tcW w:w="305" w:type="dxa"/>
            <w:vMerge w:val="continue"/>
            <w:vAlign w:val="center"/>
          </w:tcPr>
          <w:p>
            <w:pPr>
              <w:rPr>
                <w:color w:val="000000" w:themeColor="text1"/>
              </w:rPr>
            </w:pPr>
          </w:p>
        </w:tc>
        <w:tc>
          <w:tcPr>
            <w:tcW w:w="981" w:type="dxa"/>
            <w:vMerge w:val="continue"/>
            <w:vAlign w:val="center"/>
          </w:tcPr>
          <w:p>
            <w:pPr>
              <w:rPr>
                <w:color w:val="000000" w:themeColor="text1"/>
              </w:rPr>
            </w:pPr>
          </w:p>
        </w:tc>
        <w:tc>
          <w:tcPr>
            <w:tcW w:w="1046" w:type="dxa"/>
            <w:vAlign w:val="center"/>
          </w:tcPr>
          <w:p>
            <w:pPr>
              <w:rPr>
                <w:color w:val="000000" w:themeColor="text1"/>
              </w:rPr>
            </w:pPr>
            <w:r>
              <w:rPr>
                <w:color w:val="000000" w:themeColor="text1"/>
              </w:rPr>
              <w:t>业绩部分</w:t>
            </w:r>
          </w:p>
          <w:p>
            <w:pPr>
              <w:rPr>
                <w:color w:val="000000" w:themeColor="text1"/>
              </w:rPr>
            </w:pPr>
            <w:r>
              <w:rPr>
                <w:color w:val="000000" w:themeColor="text1"/>
              </w:rPr>
              <w:t>（3分）</w:t>
            </w:r>
          </w:p>
        </w:tc>
        <w:tc>
          <w:tcPr>
            <w:tcW w:w="7161" w:type="dxa"/>
          </w:tcPr>
          <w:p>
            <w:pPr>
              <w:rPr>
                <w:color w:val="000000" w:themeColor="text1"/>
              </w:rPr>
            </w:pPr>
            <w:r>
              <w:rPr>
                <w:rFonts w:hint="eastAsia"/>
                <w:color w:val="000000" w:themeColor="text1"/>
              </w:rPr>
              <w:t>提供201</w:t>
            </w:r>
            <w:r>
              <w:rPr>
                <w:color w:val="000000" w:themeColor="text1"/>
              </w:rPr>
              <w:t>9</w:t>
            </w:r>
            <w:r>
              <w:rPr>
                <w:rFonts w:hint="eastAsia"/>
                <w:color w:val="000000" w:themeColor="text1"/>
              </w:rPr>
              <w:t>年以来同类采购此软件合同复印件，每提供1份合同得1分，最高3分。（需提供合同复印件加盖投标单位公章）没有提供以上要求合同的此项不得分。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987" w:hRule="atLeast"/>
          <w:jc w:val="center"/>
        </w:trPr>
        <w:tc>
          <w:tcPr>
            <w:tcW w:w="305" w:type="dxa"/>
            <w:vMerge w:val="restart"/>
            <w:vAlign w:val="center"/>
          </w:tcPr>
          <w:p>
            <w:pPr>
              <w:jc w:val="center"/>
              <w:rPr>
                <w:color w:val="000000" w:themeColor="text1"/>
              </w:rPr>
            </w:pPr>
            <w:r>
              <w:rPr>
                <w:color w:val="000000" w:themeColor="text1"/>
              </w:rPr>
              <w:t>3</w:t>
            </w:r>
          </w:p>
        </w:tc>
        <w:tc>
          <w:tcPr>
            <w:tcW w:w="981" w:type="dxa"/>
            <w:vMerge w:val="restart"/>
            <w:vAlign w:val="center"/>
          </w:tcPr>
          <w:p>
            <w:pPr>
              <w:rPr>
                <w:color w:val="000000" w:themeColor="text1"/>
              </w:rPr>
            </w:pPr>
            <w:r>
              <w:rPr>
                <w:color w:val="000000" w:themeColor="text1"/>
              </w:rPr>
              <w:t>技术部分</w:t>
            </w:r>
          </w:p>
          <w:p>
            <w:pPr>
              <w:jc w:val="center"/>
              <w:rPr>
                <w:color w:val="000000" w:themeColor="text1"/>
              </w:rPr>
            </w:pPr>
            <w:r>
              <w:rPr>
                <w:color w:val="000000" w:themeColor="text1"/>
              </w:rPr>
              <w:t>（30分）</w:t>
            </w:r>
          </w:p>
        </w:tc>
        <w:tc>
          <w:tcPr>
            <w:tcW w:w="1046" w:type="dxa"/>
            <w:vAlign w:val="center"/>
          </w:tcPr>
          <w:p>
            <w:pPr>
              <w:rPr>
                <w:color w:val="000000" w:themeColor="text1"/>
              </w:rPr>
            </w:pPr>
            <w:r>
              <w:rPr>
                <w:rFonts w:hint="eastAsia"/>
                <w:color w:val="000000" w:themeColor="text1"/>
              </w:rPr>
              <w:t>参数响应（1</w:t>
            </w:r>
            <w:r>
              <w:rPr>
                <w:color w:val="000000" w:themeColor="text1"/>
              </w:rPr>
              <w:t>8</w:t>
            </w:r>
            <w:r>
              <w:rPr>
                <w:rFonts w:hint="eastAsia"/>
                <w:color w:val="000000" w:themeColor="text1"/>
              </w:rPr>
              <w:t>分）</w:t>
            </w:r>
          </w:p>
        </w:tc>
        <w:tc>
          <w:tcPr>
            <w:tcW w:w="7161" w:type="dxa"/>
            <w:vAlign w:val="center"/>
          </w:tcPr>
          <w:p>
            <w:pPr>
              <w:rPr>
                <w:color w:val="000000" w:themeColor="text1"/>
              </w:rPr>
            </w:pPr>
            <w:r>
              <w:rPr>
                <w:rFonts w:hint="eastAsia"/>
                <w:color w:val="000000" w:themeColor="text1"/>
              </w:rPr>
              <w:t>根据投标人提供的技术参数偏离表及其他响应技术要求的佐证材料进行评定，满足招标文件所有的技术指标、参数要求的得</w:t>
            </w:r>
            <w:r>
              <w:rPr>
                <w:color w:val="000000" w:themeColor="text1"/>
              </w:rPr>
              <w:t>18</w:t>
            </w:r>
            <w:r>
              <w:rPr>
                <w:rFonts w:hint="eastAsia"/>
                <w:color w:val="000000" w:themeColor="text1"/>
              </w:rPr>
              <w:t>分，有一项不满足扣2分，扣完为止。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0" w:type="dxa"/>
            <w:bottom w:w="0" w:type="dxa"/>
            <w:right w:w="0" w:type="dxa"/>
          </w:tblCellMar>
        </w:tblPrEx>
        <w:trPr>
          <w:trHeight w:val="987" w:hRule="atLeast"/>
          <w:jc w:val="center"/>
        </w:trPr>
        <w:tc>
          <w:tcPr>
            <w:tcW w:w="305" w:type="dxa"/>
            <w:vMerge w:val="continue"/>
            <w:vAlign w:val="center"/>
          </w:tcPr>
          <w:p>
            <w:pPr>
              <w:jc w:val="center"/>
              <w:rPr>
                <w:color w:val="000000" w:themeColor="text1"/>
              </w:rPr>
            </w:pPr>
          </w:p>
        </w:tc>
        <w:tc>
          <w:tcPr>
            <w:tcW w:w="981" w:type="dxa"/>
            <w:vMerge w:val="continue"/>
            <w:vAlign w:val="center"/>
          </w:tcPr>
          <w:p>
            <w:pPr>
              <w:rPr>
                <w:color w:val="000000" w:themeColor="text1"/>
              </w:rPr>
            </w:pPr>
          </w:p>
        </w:tc>
        <w:tc>
          <w:tcPr>
            <w:tcW w:w="1046" w:type="dxa"/>
            <w:vAlign w:val="center"/>
          </w:tcPr>
          <w:p>
            <w:pPr>
              <w:rPr>
                <w:color w:val="000000" w:themeColor="text1"/>
              </w:rPr>
            </w:pPr>
            <w:r>
              <w:rPr>
                <w:rFonts w:hint="eastAsia"/>
                <w:color w:val="000000" w:themeColor="text1"/>
              </w:rPr>
              <w:t>功能演示（1</w:t>
            </w:r>
            <w:r>
              <w:rPr>
                <w:color w:val="000000" w:themeColor="text1"/>
              </w:rPr>
              <w:t>2</w:t>
            </w:r>
            <w:r>
              <w:rPr>
                <w:rFonts w:hint="eastAsia"/>
                <w:color w:val="000000" w:themeColor="text1"/>
              </w:rPr>
              <w:t>分）</w:t>
            </w:r>
          </w:p>
        </w:tc>
        <w:tc>
          <w:tcPr>
            <w:tcW w:w="7161" w:type="dxa"/>
            <w:vAlign w:val="center"/>
          </w:tcPr>
          <w:p>
            <w:pPr>
              <w:rPr>
                <w:color w:val="000000" w:themeColor="text1"/>
              </w:rPr>
            </w:pPr>
            <w:r>
              <w:rPr>
                <w:rFonts w:hint="eastAsia"/>
                <w:color w:val="000000" w:themeColor="text1"/>
              </w:rPr>
              <w:t>演示时间10分钟左右，专家随机抽取模块列表中的三条参数进行演示，未演示或不满足，每条扣</w:t>
            </w:r>
            <w:r>
              <w:rPr>
                <w:color w:val="000000" w:themeColor="text1"/>
              </w:rPr>
              <w:t>4</w:t>
            </w:r>
            <w:r>
              <w:rPr>
                <w:rFonts w:hint="eastAsia"/>
                <w:color w:val="000000" w:themeColor="text1"/>
              </w:rPr>
              <w:t>分；基本满足，每条打分区间</w:t>
            </w:r>
            <w:r>
              <w:rPr>
                <w:color w:val="000000" w:themeColor="text1"/>
              </w:rPr>
              <w:t>2</w:t>
            </w:r>
            <w:r>
              <w:rPr>
                <w:rFonts w:hint="eastAsia"/>
                <w:color w:val="000000" w:themeColor="text1"/>
              </w:rPr>
              <w:t>.4-</w:t>
            </w:r>
            <w:r>
              <w:rPr>
                <w:color w:val="000000" w:themeColor="text1"/>
              </w:rPr>
              <w:t>4</w:t>
            </w:r>
            <w:r>
              <w:rPr>
                <w:rFonts w:hint="eastAsia"/>
                <w:color w:val="000000" w:themeColor="text1"/>
              </w:rPr>
              <w:t>分，精确到小数点后1位。</w:t>
            </w:r>
          </w:p>
        </w:tc>
      </w:tr>
    </w:tbl>
    <w:p>
      <w:pPr>
        <w:rPr>
          <w:rStyle w:val="47"/>
          <w:rFonts w:ascii="宋体" w:hAnsi="宋体" w:cs="宋体"/>
        </w:rPr>
      </w:pPr>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8" w:name="_Toc20541"/>
      <w:r>
        <w:rPr>
          <w:rStyle w:val="47"/>
          <w:rFonts w:hint="eastAsia" w:ascii="宋体" w:hAnsi="宋体" w:eastAsia="宋体" w:cs="宋体"/>
          <w:b/>
          <w:sz w:val="44"/>
        </w:rPr>
        <w:t>第六章  投标文件格式</w:t>
      </w:r>
      <w:bookmarkEnd w:id="8"/>
    </w:p>
    <w:p>
      <w:pPr>
        <w:jc w:val="center"/>
        <w:rPr>
          <w:rStyle w:val="47"/>
          <w:rFonts w:ascii="宋体" w:hAnsi="宋体" w:cs="宋体"/>
          <w:b/>
          <w:sz w:val="72"/>
        </w:rPr>
      </w:pPr>
    </w:p>
    <w:p>
      <w:pPr>
        <w:jc w:val="center"/>
        <w:outlineLvl w:val="0"/>
        <w:rPr>
          <w:rStyle w:val="47"/>
          <w:rFonts w:ascii="宋体" w:hAnsi="宋体" w:cs="宋体"/>
          <w:b/>
          <w:sz w:val="72"/>
        </w:rPr>
      </w:pPr>
      <w:bookmarkStart w:id="9" w:name="_Toc26413"/>
      <w:r>
        <w:rPr>
          <w:rStyle w:val="47"/>
          <w:rFonts w:hint="eastAsia" w:ascii="宋体" w:hAnsi="宋体" w:cs="宋体"/>
          <w:b/>
          <w:sz w:val="72"/>
        </w:rPr>
        <w:t>投  标  文  件</w:t>
      </w:r>
      <w:bookmarkEnd w:id="9"/>
    </w:p>
    <w:p>
      <w:pPr>
        <w:jc w:val="center"/>
        <w:outlineLvl w:val="0"/>
        <w:rPr>
          <w:rStyle w:val="47"/>
          <w:rFonts w:ascii="宋体" w:hAnsi="宋体" w:cs="宋体"/>
          <w:b/>
          <w:sz w:val="72"/>
        </w:rPr>
      </w:pPr>
      <w:bookmarkStart w:id="10" w:name="_Toc17655"/>
      <w:r>
        <w:rPr>
          <w:rStyle w:val="47"/>
          <w:rFonts w:hint="eastAsia" w:ascii="宋体" w:hAnsi="宋体" w:cs="宋体"/>
          <w:b/>
          <w:sz w:val="36"/>
        </w:rPr>
        <w:t>（正或副本）</w:t>
      </w:r>
      <w:bookmarkEnd w:id="10"/>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1" w:name="_Toc8567"/>
      <w:r>
        <w:rPr>
          <w:rStyle w:val="47"/>
          <w:rFonts w:hint="eastAsia" w:ascii="宋体" w:hAnsi="宋体" w:cs="宋体"/>
          <w:b/>
          <w:sz w:val="36"/>
        </w:rPr>
        <w:t>项 目 名 称：</w:t>
      </w:r>
      <w:bookmarkEnd w:id="11"/>
    </w:p>
    <w:p>
      <w:pPr>
        <w:ind w:firstLine="1084" w:firstLineChars="300"/>
        <w:outlineLvl w:val="0"/>
        <w:rPr>
          <w:rStyle w:val="47"/>
          <w:rFonts w:ascii="宋体" w:hAnsi="宋体" w:cs="宋体"/>
          <w:b/>
          <w:sz w:val="36"/>
          <w:u w:val="single" w:color="000000"/>
        </w:rPr>
      </w:pPr>
      <w:bookmarkStart w:id="12" w:name="_Toc20815"/>
      <w:r>
        <w:rPr>
          <w:rStyle w:val="47"/>
          <w:rFonts w:hint="eastAsia" w:ascii="宋体" w:hAnsi="宋体" w:cs="宋体"/>
          <w:b/>
          <w:sz w:val="36"/>
        </w:rPr>
        <w:t>招 标 编 号：</w:t>
      </w:r>
      <w:bookmarkEnd w:id="12"/>
    </w:p>
    <w:p>
      <w:pPr>
        <w:ind w:firstLine="1084" w:firstLineChars="300"/>
        <w:outlineLvl w:val="0"/>
        <w:rPr>
          <w:rStyle w:val="47"/>
          <w:rFonts w:ascii="宋体" w:hAnsi="宋体" w:cs="宋体"/>
          <w:b/>
          <w:sz w:val="36"/>
          <w:u w:val="single" w:color="000000"/>
        </w:rPr>
      </w:pPr>
      <w:bookmarkStart w:id="13" w:name="_Toc15597"/>
      <w:r>
        <w:rPr>
          <w:rStyle w:val="47"/>
          <w:rFonts w:hint="eastAsia" w:ascii="宋体" w:hAnsi="宋体" w:cs="宋体"/>
          <w:b/>
          <w:sz w:val="36"/>
        </w:rPr>
        <w:t>投标人名称 ：</w:t>
      </w:r>
      <w:bookmarkEnd w:id="13"/>
    </w:p>
    <w:p>
      <w:pPr>
        <w:ind w:firstLine="1084" w:firstLineChars="300"/>
        <w:outlineLvl w:val="0"/>
        <w:rPr>
          <w:rStyle w:val="47"/>
          <w:rFonts w:ascii="宋体" w:hAnsi="宋体" w:cs="宋体"/>
          <w:b/>
          <w:sz w:val="36"/>
        </w:rPr>
      </w:pPr>
      <w:bookmarkStart w:id="14" w:name="_Toc26387"/>
      <w:r>
        <w:rPr>
          <w:rStyle w:val="47"/>
          <w:rFonts w:hint="eastAsia" w:ascii="宋体" w:hAnsi="宋体" w:cs="宋体"/>
          <w:b/>
          <w:sz w:val="36"/>
        </w:rPr>
        <w:t>日      期 ：</w:t>
      </w:r>
      <w:bookmarkEnd w:id="14"/>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6"/>
        <w:rPr>
          <w:rStyle w:val="47"/>
          <w:rFonts w:ascii="宋体" w:hAnsi="宋体" w:eastAsia="宋体" w:cs="宋体"/>
          <w:b w:val="0"/>
          <w:sz w:val="24"/>
          <w:szCs w:val="21"/>
        </w:rPr>
      </w:pPr>
    </w:p>
    <w:p>
      <w:pPr>
        <w:rPr>
          <w:rStyle w:val="47"/>
          <w:rFonts w:ascii="宋体" w:hAnsi="宋体" w:cs="宋体"/>
          <w:sz w:val="24"/>
        </w:rPr>
      </w:pPr>
    </w:p>
    <w:p>
      <w:pPr>
        <w:pStyle w:val="21"/>
      </w:pPr>
    </w:p>
    <w:p>
      <w:pPr>
        <w:rPr>
          <w:rStyle w:val="47"/>
          <w:rFonts w:ascii="宋体" w:hAnsi="宋体" w:cs="宋体"/>
          <w:sz w:val="24"/>
        </w:rPr>
      </w:pPr>
    </w:p>
    <w:p>
      <w:pPr>
        <w:spacing w:line="440" w:lineRule="exact"/>
        <w:jc w:val="center"/>
        <w:rPr>
          <w:rFonts w:ascii="宋体" w:hAnsi="宋体" w:cs="宋体"/>
          <w:b/>
          <w:color w:val="000000" w:themeColor="text1"/>
          <w:sz w:val="30"/>
          <w:szCs w:val="30"/>
        </w:rPr>
      </w:pP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rPr>
            </w:pPr>
          </w:p>
        </w:tc>
        <w:tc>
          <w:tcPr>
            <w:tcW w:w="3570"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jc w:val="center"/>
        <w:outlineLvl w:val="0"/>
        <w:rPr>
          <w:rFonts w:ascii="宋体" w:hAnsi="宋体" w:cs="宋体"/>
          <w:b/>
          <w:bCs/>
          <w:color w:val="000000" w:themeColor="text1"/>
          <w:sz w:val="32"/>
          <w:szCs w:val="32"/>
        </w:rPr>
      </w:pPr>
      <w:bookmarkStart w:id="15" w:name="_Toc16079"/>
    </w:p>
    <w:p>
      <w:pPr>
        <w:jc w:val="center"/>
        <w:outlineLvl w:val="0"/>
        <w:rPr>
          <w:rFonts w:ascii="宋体" w:hAnsi="宋体" w:cs="宋体"/>
          <w:b/>
          <w:bCs/>
          <w:color w:val="000000" w:themeColor="text1"/>
          <w:sz w:val="32"/>
          <w:szCs w:val="32"/>
        </w:rPr>
      </w:pPr>
    </w:p>
    <w:p>
      <w:pPr>
        <w:jc w:val="center"/>
        <w:outlineLvl w:val="0"/>
        <w:rPr>
          <w:rFonts w:ascii="宋体" w:hAnsi="宋体" w:cs="宋体"/>
          <w:b/>
          <w:bCs/>
          <w:color w:val="000000" w:themeColor="text1"/>
          <w:sz w:val="32"/>
          <w:szCs w:val="32"/>
        </w:rPr>
      </w:pPr>
      <w:r>
        <w:rPr>
          <w:rFonts w:hint="eastAsia" w:ascii="宋体" w:hAnsi="宋体" w:cs="宋体"/>
          <w:b/>
          <w:bCs/>
          <w:color w:val="000000" w:themeColor="text1"/>
          <w:sz w:val="32"/>
          <w:szCs w:val="32"/>
        </w:rPr>
        <w:t>投标主要文件目录</w:t>
      </w:r>
      <w:bookmarkEnd w:id="15"/>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16" w:name="_Toc8971"/>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16"/>
    </w:p>
    <w:p>
      <w:pPr>
        <w:ind w:firstLine="482" w:firstLineChars="200"/>
        <w:outlineLvl w:val="0"/>
        <w:rPr>
          <w:rFonts w:ascii="宋体" w:hAnsi="宋体" w:cs="宋体"/>
          <w:color w:val="000000" w:themeColor="text1"/>
          <w:sz w:val="24"/>
        </w:rPr>
      </w:pPr>
      <w:bookmarkStart w:id="17" w:name="_Toc40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17"/>
    </w:p>
    <w:p>
      <w:pPr>
        <w:ind w:firstLine="480" w:firstLineChars="200"/>
        <w:outlineLvl w:val="0"/>
        <w:rPr>
          <w:rFonts w:ascii="宋体" w:hAnsi="宋体" w:cs="宋体"/>
          <w:bCs/>
          <w:color w:val="000000" w:themeColor="text1"/>
          <w:sz w:val="24"/>
        </w:rPr>
      </w:pPr>
      <w:bookmarkStart w:id="18" w:name="_Toc17993"/>
      <w:r>
        <w:rPr>
          <w:rFonts w:hint="eastAsia" w:ascii="宋体" w:hAnsi="宋体" w:cs="宋体"/>
          <w:color w:val="000000" w:themeColor="text1"/>
          <w:sz w:val="24"/>
        </w:rPr>
        <w:t>三、符合性检查响应对照表</w:t>
      </w:r>
      <w:bookmarkEnd w:id="18"/>
    </w:p>
    <w:p>
      <w:pPr>
        <w:ind w:firstLine="480" w:firstLineChars="200"/>
        <w:outlineLvl w:val="0"/>
        <w:rPr>
          <w:rFonts w:ascii="宋体" w:hAnsi="宋体" w:cs="宋体"/>
          <w:color w:val="000000" w:themeColor="text1"/>
          <w:sz w:val="24"/>
        </w:rPr>
      </w:pPr>
      <w:bookmarkStart w:id="19" w:name="_Toc4466"/>
      <w:r>
        <w:rPr>
          <w:rFonts w:hint="eastAsia" w:ascii="宋体" w:hAnsi="宋体" w:cs="宋体"/>
          <w:color w:val="000000" w:themeColor="text1"/>
          <w:sz w:val="24"/>
        </w:rPr>
        <w:t>四、投标函</w:t>
      </w:r>
      <w:bookmarkEnd w:id="19"/>
    </w:p>
    <w:p>
      <w:pPr>
        <w:ind w:firstLine="480" w:firstLineChars="200"/>
        <w:outlineLvl w:val="0"/>
        <w:rPr>
          <w:rFonts w:ascii="宋体" w:hAnsi="宋体" w:cs="宋体"/>
          <w:color w:val="000000" w:themeColor="text1"/>
          <w:sz w:val="24"/>
        </w:rPr>
      </w:pPr>
      <w:bookmarkStart w:id="20" w:name="_Toc30056"/>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20"/>
    </w:p>
    <w:p>
      <w:pPr>
        <w:ind w:firstLine="480" w:firstLineChars="200"/>
        <w:outlineLvl w:val="0"/>
        <w:rPr>
          <w:rFonts w:ascii="宋体" w:hAnsi="宋体" w:cs="宋体"/>
          <w:color w:val="000000" w:themeColor="text1"/>
          <w:sz w:val="24"/>
        </w:rPr>
      </w:pPr>
      <w:bookmarkStart w:id="21" w:name="_Toc1256"/>
      <w:r>
        <w:rPr>
          <w:rFonts w:hint="eastAsia" w:ascii="宋体" w:hAnsi="宋体" w:cs="宋体"/>
          <w:color w:val="000000" w:themeColor="text1"/>
          <w:sz w:val="24"/>
        </w:rPr>
        <w:t>六、投标配置与分项报价表</w:t>
      </w:r>
      <w:bookmarkEnd w:id="21"/>
    </w:p>
    <w:p>
      <w:pPr>
        <w:ind w:firstLine="480" w:firstLineChars="200"/>
        <w:outlineLvl w:val="0"/>
        <w:rPr>
          <w:rFonts w:ascii="宋体" w:hAnsi="宋体" w:cs="宋体"/>
          <w:color w:val="000000" w:themeColor="text1"/>
          <w:sz w:val="24"/>
        </w:rPr>
      </w:pPr>
      <w:bookmarkStart w:id="22" w:name="_Toc16688"/>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2"/>
    </w:p>
    <w:p>
      <w:pPr>
        <w:ind w:firstLine="480" w:firstLineChars="200"/>
        <w:outlineLvl w:val="0"/>
        <w:rPr>
          <w:rFonts w:ascii="宋体" w:hAnsi="宋体" w:cs="宋体"/>
          <w:color w:val="000000" w:themeColor="text1"/>
          <w:sz w:val="24"/>
        </w:rPr>
      </w:pPr>
      <w:bookmarkStart w:id="23" w:name="_Toc13614"/>
      <w:r>
        <w:rPr>
          <w:rFonts w:hint="eastAsia" w:ascii="宋体" w:hAnsi="宋体" w:cs="宋体"/>
          <w:color w:val="000000" w:themeColor="text1"/>
          <w:sz w:val="24"/>
        </w:rPr>
        <w:t>八、商务条款响应及偏离表</w:t>
      </w:r>
      <w:bookmarkEnd w:id="23"/>
    </w:p>
    <w:p>
      <w:pPr>
        <w:ind w:firstLine="480" w:firstLineChars="200"/>
        <w:outlineLvl w:val="0"/>
        <w:rPr>
          <w:rFonts w:ascii="宋体" w:hAnsi="宋体" w:cs="宋体"/>
          <w:color w:val="000000" w:themeColor="text1"/>
          <w:sz w:val="24"/>
        </w:rPr>
      </w:pPr>
      <w:bookmarkStart w:id="24" w:name="_Toc25377"/>
      <w:r>
        <w:rPr>
          <w:rFonts w:hint="eastAsia" w:ascii="宋体" w:hAnsi="宋体" w:cs="宋体"/>
          <w:color w:val="000000" w:themeColor="text1"/>
          <w:sz w:val="24"/>
        </w:rPr>
        <w:t>九、技术方案、服务承诺、培训承诺等</w:t>
      </w:r>
      <w:bookmarkEnd w:id="24"/>
    </w:p>
    <w:p>
      <w:pPr>
        <w:ind w:firstLine="480" w:firstLineChars="200"/>
        <w:outlineLvl w:val="0"/>
        <w:rPr>
          <w:rFonts w:ascii="宋体" w:hAnsi="宋体" w:cs="宋体"/>
          <w:color w:val="000000" w:themeColor="text1"/>
        </w:rPr>
      </w:pPr>
      <w:bookmarkStart w:id="25" w:name="_Toc28209"/>
      <w:r>
        <w:rPr>
          <w:rFonts w:hint="eastAsia" w:ascii="宋体" w:hAnsi="宋体" w:cs="宋体"/>
          <w:color w:val="000000" w:themeColor="text1"/>
          <w:sz w:val="24"/>
          <w:szCs w:val="24"/>
        </w:rPr>
        <w:t>十、中小企业声明函</w:t>
      </w:r>
      <w:bookmarkEnd w:id="25"/>
    </w:p>
    <w:p>
      <w:pPr>
        <w:spacing w:line="440" w:lineRule="exact"/>
        <w:ind w:firstLine="480" w:firstLineChars="200"/>
        <w:outlineLvl w:val="0"/>
        <w:rPr>
          <w:rFonts w:ascii="宋体" w:hAnsi="宋体" w:cs="宋体"/>
          <w:color w:val="000000" w:themeColor="text1"/>
          <w:sz w:val="24"/>
        </w:rPr>
      </w:pPr>
      <w:bookmarkStart w:id="26" w:name="_Toc13879"/>
      <w:r>
        <w:rPr>
          <w:rFonts w:hint="eastAsia" w:ascii="宋体" w:hAnsi="宋体" w:cs="宋体"/>
          <w:color w:val="000000" w:themeColor="text1"/>
          <w:sz w:val="24"/>
        </w:rPr>
        <w:t>十一、盐城市政府采购事前信用承诺书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Fonts w:ascii="宋体" w:hAnsi="宋体" w:cs="宋体"/>
          <w:b/>
          <w:bCs/>
          <w:color w:val="000000" w:themeColor="text1"/>
          <w:sz w:val="32"/>
          <w:szCs w:val="32"/>
        </w:rPr>
      </w:pPr>
      <w:bookmarkStart w:id="27" w:name="_Toc27319"/>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7"/>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rPr>
      </w:pPr>
      <w:r>
        <w:rPr>
          <w:rFonts w:hint="eastAsia" w:ascii="宋体" w:hAnsi="宋体" w:cs="宋体"/>
          <w:color w:val="000000" w:themeColor="text1"/>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5"/>
        <w:jc w:val="center"/>
        <w:rPr>
          <w:rFonts w:ascii="宋体" w:hAnsi="宋体" w:cs="宋体"/>
          <w:color w:val="000000" w:themeColor="text1"/>
        </w:rPr>
      </w:pPr>
      <w:r>
        <w:rPr>
          <w:rFonts w:hint="eastAsia" w:ascii="宋体" w:hAnsi="宋体" w:cs="宋体"/>
          <w:color w:val="000000" w:themeColor="text1"/>
        </w:rPr>
        <w:br w:type="page"/>
      </w: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r>
        <w:rPr>
          <w:rFonts w:hint="eastAsia" w:ascii="宋体" w:hAnsi="宋体" w:cs="宋体"/>
          <w:color w:val="000000" w:themeColor="text1"/>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p>
    <w:p>
      <w:pPr>
        <w:pStyle w:val="5"/>
        <w:jc w:val="center"/>
        <w:rPr>
          <w:rFonts w:ascii="宋体" w:hAnsi="宋体" w:cs="宋体"/>
          <w:color w:val="000000" w:themeColor="text1"/>
        </w:rPr>
      </w:pPr>
      <w:r>
        <w:rPr>
          <w:rFonts w:hint="eastAsia" w:ascii="宋体" w:hAnsi="宋体" w:cs="宋体"/>
          <w:color w:val="000000" w:themeColor="text1"/>
        </w:rPr>
        <w:t>法人授权书</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w:t>
      </w:r>
      <w:r>
        <w:rPr>
          <w:rFonts w:hint="eastAsia" w:ascii="宋体" w:hAnsi="宋体" w:cs="宋体"/>
          <w:color w:val="000000" w:themeColor="text1"/>
          <w:sz w:val="24"/>
          <w:szCs w:val="24"/>
          <w:u w:val="single"/>
        </w:rPr>
        <w:t>2022-0Q</w:t>
      </w:r>
      <w:r>
        <w:rPr>
          <w:rFonts w:hint="eastAsia" w:ascii="宋体" w:hAnsi="宋体" w:cs="宋体"/>
          <w:color w:val="000000" w:themeColor="text1"/>
          <w:sz w:val="24"/>
          <w:szCs w:val="24"/>
        </w:rPr>
        <w:t>号项目采购活动的合法代理人，以本公司名义全权处理一切与该项目采购有关的事务。</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166"/>
        <w:ind w:firstLine="0" w:firstLineChars="0"/>
        <w:rPr>
          <w:rFonts w:ascii="宋体" w:hAnsi="宋体" w:cs="宋体"/>
          <w:color w:val="000000" w:themeColor="text1"/>
          <w:sz w:val="24"/>
          <w:szCs w:val="24"/>
        </w:rPr>
      </w:pP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166"/>
        <w:ind w:firstLine="480"/>
        <w:rPr>
          <w:rFonts w:ascii="宋体" w:hAnsi="宋体" w:cs="宋体"/>
          <w:color w:val="000000" w:themeColor="text1"/>
          <w:sz w:val="24"/>
          <w:szCs w:val="24"/>
        </w:rPr>
      </w:pP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166"/>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5"/>
        <w:rPr>
          <w:rFonts w:ascii="宋体" w:hAnsi="宋体" w:cs="宋体"/>
          <w:color w:val="000000" w:themeColor="text1"/>
          <w:sz w:val="24"/>
          <w:szCs w:val="24"/>
        </w:rPr>
      </w:pPr>
      <w:bookmarkStart w:id="28" w:name="_Hlt26671380"/>
      <w:bookmarkEnd w:id="28"/>
      <w:bookmarkStart w:id="29" w:name="_格式3__银行出具的资信证明"/>
      <w:bookmarkEnd w:id="29"/>
      <w:bookmarkStart w:id="30" w:name="_Hlt26955070"/>
      <w:bookmarkEnd w:id="30"/>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31" w:name="_Toc3822"/>
      <w:r>
        <w:rPr>
          <w:rFonts w:hint="eastAsia" w:ascii="宋体" w:hAnsi="宋体" w:cs="宋体"/>
          <w:color w:val="000000" w:themeColor="text1"/>
          <w:sz w:val="32"/>
          <w:szCs w:val="32"/>
        </w:rPr>
        <w:t>二、资格性审查响应对照表（格式）</w:t>
      </w:r>
      <w:bookmarkEnd w:id="31"/>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32" w:name="_Toc26324"/>
      <w:r>
        <w:rPr>
          <w:rFonts w:hint="eastAsia" w:ascii="宋体" w:hAnsi="宋体" w:cs="宋体"/>
          <w:color w:val="000000" w:themeColor="text1"/>
          <w:sz w:val="32"/>
          <w:szCs w:val="32"/>
        </w:rPr>
        <w:t>三、符合性检查响应对照表（格式）</w:t>
      </w:r>
      <w:bookmarkEnd w:id="32"/>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p>
    <w:p>
      <w:pPr>
        <w:pStyle w:val="2"/>
        <w:rPr>
          <w:rFonts w:ascii="宋体" w:hAnsi="宋体" w:cs="宋体"/>
          <w:color w:val="000000" w:themeColor="text1"/>
          <w:sz w:val="32"/>
          <w:szCs w:val="32"/>
        </w:rPr>
      </w:pPr>
    </w:p>
    <w:p/>
    <w:p>
      <w:pPr>
        <w:snapToGrid w:val="0"/>
        <w:spacing w:before="50" w:after="50"/>
        <w:jc w:val="center"/>
        <w:outlineLvl w:val="0"/>
        <w:rPr>
          <w:rFonts w:ascii="宋体" w:hAnsi="宋体" w:cs="宋体"/>
          <w:color w:val="000000" w:themeColor="text1"/>
          <w:sz w:val="32"/>
          <w:szCs w:val="32"/>
        </w:rPr>
      </w:pPr>
      <w:bookmarkStart w:id="33" w:name="_Toc13422"/>
      <w:r>
        <w:rPr>
          <w:rFonts w:hint="eastAsia" w:ascii="宋体" w:hAnsi="宋体" w:cs="宋体"/>
          <w:color w:val="000000" w:themeColor="text1"/>
          <w:sz w:val="32"/>
          <w:szCs w:val="32"/>
        </w:rPr>
        <w:t>四、投标函（格式）</w:t>
      </w:r>
      <w:bookmarkEnd w:id="33"/>
    </w:p>
    <w:p>
      <w:pPr>
        <w:pStyle w:val="167"/>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rPr>
        <w:t>2022-0Q号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7"/>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7"/>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6"/>
      </w:pPr>
    </w:p>
    <w:p/>
    <w:p>
      <w:pPr>
        <w:rPr>
          <w:rFonts w:ascii="宋体" w:hAnsi="宋体" w:cs="宋体"/>
          <w:b/>
          <w:sz w:val="24"/>
          <w:szCs w:val="24"/>
        </w:rPr>
      </w:pPr>
      <w:bookmarkStart w:id="35" w:name="_Toc515647824"/>
      <w:bookmarkStart w:id="36" w:name="_Toc10977"/>
      <w:bookmarkStart w:id="37" w:name="_Toc11803"/>
      <w:bookmarkStart w:id="38" w:name="_Toc13776"/>
    </w:p>
    <w:bookmarkEnd w:id="35"/>
    <w:bookmarkEnd w:id="36"/>
    <w:bookmarkEnd w:id="37"/>
    <w:bookmarkEnd w:id="38"/>
    <w:p>
      <w:pPr>
        <w:pStyle w:val="4"/>
        <w:pageBreakBefore/>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附件：1、中小企业声明函（货物）</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p>
    <w:p>
      <w:pPr>
        <w:pStyle w:val="19"/>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附件1：</w:t>
      </w:r>
      <w:r>
        <w:rPr>
          <w:rFonts w:hint="eastAsia"/>
          <w:b/>
          <w:bCs/>
          <w:color w:val="000000" w:themeColor="text1"/>
        </w:rPr>
        <w:t>中小企业声明函（货物）</w:t>
      </w:r>
    </w:p>
    <w:p>
      <w:pPr>
        <w:pStyle w:val="19"/>
        <w:shd w:val="clear" w:color="auto" w:fill="FFFFFF"/>
        <w:spacing w:before="0" w:beforeAutospacing="0" w:after="0" w:afterAutospacing="0" w:line="560" w:lineRule="atLeast"/>
        <w:jc w:val="center"/>
        <w:rPr>
          <w:color w:val="000000" w:themeColor="text1"/>
          <w:sz w:val="21"/>
        </w:rPr>
      </w:pPr>
      <w:r>
        <w:rPr>
          <w:rFonts w:hint="eastAsia"/>
          <w:b/>
          <w:color w:val="000000" w:themeColor="text1"/>
          <w:shd w:val="clear" w:color="auto" w:fill="FFFFFF"/>
        </w:rPr>
        <w:t>中小企业声明函（货物）</w:t>
      </w: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19"/>
        <w:shd w:val="clear" w:color="auto" w:fill="FFFFFF"/>
        <w:adjustRightInd w:val="0"/>
        <w:snapToGrid w:val="0"/>
        <w:spacing w:before="0" w:beforeAutospacing="0" w:after="0" w:afterAutospacing="0" w:line="360" w:lineRule="auto"/>
        <w:ind w:firstLine="840"/>
        <w:rPr>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w:t>
      </w: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日期：</w:t>
      </w:r>
    </w:p>
    <w:p>
      <w:pPr>
        <w:pStyle w:val="19"/>
        <w:shd w:val="clear" w:color="auto" w:fill="FFFFFF"/>
        <w:adjustRightInd w:val="0"/>
        <w:snapToGrid w:val="0"/>
        <w:spacing w:before="0" w:beforeAutospacing="0" w:after="0" w:afterAutospacing="0" w:line="360" w:lineRule="auto"/>
        <w:rPr>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pStyle w:val="19"/>
        <w:shd w:val="clear" w:color="auto" w:fill="FFFFFF"/>
        <w:spacing w:before="0" w:beforeAutospacing="0" w:after="0" w:afterAutospacing="0" w:line="560" w:lineRule="atLeast"/>
        <w:jc w:val="center"/>
        <w:rPr>
          <w:color w:val="000000" w:themeColor="text1"/>
          <w:sz w:val="21"/>
        </w:rPr>
      </w:pPr>
    </w:p>
    <w:p>
      <w:pPr>
        <w:spacing w:line="360" w:lineRule="auto"/>
        <w:outlineLvl w:val="0"/>
        <w:rPr>
          <w:rFonts w:ascii="宋体" w:hAnsi="宋体" w:cs="宋体"/>
          <w:b/>
          <w:color w:val="000000" w:themeColor="text1"/>
          <w:sz w:val="24"/>
          <w:szCs w:val="24"/>
        </w:rPr>
      </w:pPr>
    </w:p>
    <w:p>
      <w:pPr>
        <w:spacing w:line="360" w:lineRule="auto"/>
        <w:outlineLvl w:val="0"/>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59"/>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59"/>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rPr>
          <w:color w:val="000000" w:themeColor="text1"/>
        </w:rPr>
        <w:sectPr>
          <w:headerReference r:id="rId8" w:type="default"/>
          <w:footerReference r:id="rId9"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rPr>
      </w:pPr>
      <w:bookmarkStart w:id="39" w:name="_Toc3073"/>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bookmarkEnd w:id="39"/>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rFonts w:ascii="宋体" w:hAnsi="宋体" w:cs="宋体"/>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8"/>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jc w:val="left"/>
        <w:rPr>
          <w:rFonts w:ascii="宋体" w:hAnsi="宋体" w:cs="宋体"/>
          <w:color w:val="000000" w:themeColor="text1"/>
          <w:sz w:val="32"/>
          <w:szCs w:val="32"/>
        </w:rPr>
      </w:pPr>
      <w:bookmarkStart w:id="40" w:name="_Hlt26955054"/>
      <w:bookmarkEnd w:id="40"/>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41" w:name="_Toc17355"/>
      <w:r>
        <w:rPr>
          <w:rFonts w:hint="eastAsia" w:ascii="宋体" w:hAnsi="宋体" w:cs="宋体"/>
          <w:color w:val="000000" w:themeColor="text1"/>
          <w:sz w:val="32"/>
          <w:szCs w:val="32"/>
        </w:rPr>
        <w:t>七、技术参数响应及偏离表（如有）</w:t>
      </w:r>
      <w:bookmarkEnd w:id="41"/>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8"/>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42" w:name="_Toc20796"/>
      <w:r>
        <w:rPr>
          <w:rFonts w:hint="eastAsia" w:ascii="宋体" w:hAnsi="宋体" w:cs="宋体"/>
          <w:color w:val="000000" w:themeColor="text1"/>
          <w:sz w:val="32"/>
          <w:szCs w:val="32"/>
        </w:rPr>
        <w:t>八、商务条款响应及偏离表（如有）</w:t>
      </w:r>
      <w:bookmarkEnd w:id="42"/>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spacing w:line="480" w:lineRule="auto"/>
        <w:rPr>
          <w:rFonts w:ascii="宋体" w:hAnsi="宋体" w:cs="宋体"/>
          <w:color w:val="000000" w:themeColor="text1"/>
          <w:sz w:val="30"/>
        </w:rPr>
      </w:pPr>
      <w:bookmarkStart w:id="43" w:name="_Hlt26580838"/>
      <w:bookmarkEnd w:id="43"/>
      <w:bookmarkStart w:id="44" w:name="_Hlt26609389"/>
      <w:bookmarkEnd w:id="44"/>
      <w:bookmarkStart w:id="45" w:name="_Hlt26782999"/>
      <w:bookmarkEnd w:id="45"/>
      <w:bookmarkStart w:id="46" w:name="_Hlt26671343"/>
      <w:bookmarkEnd w:id="46"/>
      <w:bookmarkStart w:id="47" w:name="_Hlt26609391"/>
      <w:bookmarkEnd w:id="47"/>
      <w:bookmarkStart w:id="48" w:name="_Hlt24879081"/>
      <w:bookmarkEnd w:id="48"/>
      <w:bookmarkStart w:id="49" w:name="_Hlt26671372"/>
      <w:bookmarkEnd w:id="49"/>
      <w:bookmarkStart w:id="50" w:name="_Hlt26671374"/>
      <w:bookmarkEnd w:id="50"/>
      <w:bookmarkStart w:id="51" w:name="_Hlt26955066"/>
      <w:bookmarkEnd w:id="51"/>
      <w:bookmarkStart w:id="52" w:name="_Hlt26955064"/>
      <w:bookmarkEnd w:id="52"/>
      <w:bookmarkStart w:id="53" w:name="_Hlt26955056"/>
      <w:bookmarkEnd w:id="53"/>
      <w:bookmarkStart w:id="54" w:name="_Toc462564146"/>
    </w:p>
    <w:p>
      <w:pPr>
        <w:pStyle w:val="7"/>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55" w:name="_Toc8363"/>
      <w:r>
        <w:rPr>
          <w:rFonts w:hint="eastAsia" w:ascii="宋体" w:hAnsi="宋体" w:cs="宋体"/>
          <w:color w:val="000000" w:themeColor="text1"/>
          <w:sz w:val="32"/>
          <w:szCs w:val="32"/>
        </w:rPr>
        <w:t>九、技术方案、服务承诺等</w:t>
      </w:r>
      <w:bookmarkEnd w:id="54"/>
      <w:bookmarkEnd w:id="55"/>
      <w:bookmarkStart w:id="56" w:name="_格式2__法定代表人授权书"/>
      <w:bookmarkEnd w:id="56"/>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pStyle w:val="2"/>
        <w:rPr>
          <w:rFonts w:ascii="宋体" w:hAnsi="宋体" w:cs="宋体"/>
          <w:color w:val="000000" w:themeColor="text1"/>
        </w:rPr>
      </w:pPr>
    </w:p>
    <w:p>
      <w:pPr>
        <w:numPr>
          <w:ilvl w:val="0"/>
          <w:numId w:val="9"/>
        </w:numPr>
        <w:snapToGrid w:val="0"/>
        <w:spacing w:before="50" w:after="50"/>
        <w:outlineLvl w:val="0"/>
        <w:rPr>
          <w:rFonts w:hAnsi="宋体" w:cs="宋体"/>
          <w:b/>
          <w:bCs/>
          <w:color w:val="000000" w:themeColor="text1"/>
        </w:rPr>
        <w:sectPr>
          <w:footerReference r:id="rId11" w:type="first"/>
          <w:footerReference r:id="rId10" w:type="default"/>
          <w:pgSz w:w="11906" w:h="16838"/>
          <w:pgMar w:top="1417" w:right="1587" w:bottom="1417" w:left="1366" w:header="851" w:footer="907" w:gutter="0"/>
          <w:pgNumType w:fmt="decimal"/>
          <w:cols w:space="0" w:num="1"/>
          <w:titlePg/>
          <w:docGrid w:type="lines" w:linePitch="298" w:charSpace="0"/>
        </w:sectPr>
      </w:pPr>
    </w:p>
    <w:p>
      <w:pPr>
        <w:spacing w:line="460" w:lineRule="exact"/>
        <w:outlineLvl w:val="0"/>
        <w:rPr>
          <w:rFonts w:ascii="宋体" w:hAnsi="宋体" w:cs="宋体"/>
          <w:color w:val="000000" w:themeColor="text1"/>
          <w:sz w:val="32"/>
        </w:rPr>
      </w:pPr>
      <w:bookmarkStart w:id="57" w:name="_Toc22033"/>
    </w:p>
    <w:p>
      <w:pPr>
        <w:spacing w:line="460" w:lineRule="exact"/>
        <w:ind w:firstLine="640" w:firstLineChars="200"/>
        <w:jc w:val="center"/>
        <w:outlineLvl w:val="0"/>
        <w:rPr>
          <w:rFonts w:ascii="宋体" w:hAnsi="宋体" w:cs="宋体"/>
          <w:color w:val="000000" w:themeColor="text1"/>
          <w:sz w:val="32"/>
        </w:rPr>
      </w:pPr>
      <w:r>
        <w:rPr>
          <w:rFonts w:hint="eastAsia" w:ascii="宋体" w:hAnsi="宋体" w:cs="宋体"/>
          <w:color w:val="000000" w:themeColor="text1"/>
          <w:sz w:val="32"/>
        </w:rPr>
        <w:t>十、盐城市政府采购事前信用承诺书</w:t>
      </w:r>
      <w:bookmarkEnd w:id="57"/>
    </w:p>
    <w:p>
      <w:pPr>
        <w:spacing w:line="460" w:lineRule="exact"/>
        <w:ind w:firstLine="640" w:firstLineChars="200"/>
        <w:jc w:val="left"/>
        <w:rPr>
          <w:rFonts w:ascii="宋体" w:hAnsi="宋体" w:cs="宋体"/>
          <w:color w:val="000000" w:themeColor="text1"/>
          <w:sz w:val="32"/>
        </w:rPr>
      </w:pP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rPr>
      </w:pPr>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8" w:name="_Toc1790"/>
      <w:r>
        <w:rPr>
          <w:rFonts w:hint="eastAsia" w:ascii="宋体" w:hAnsi="宋体" w:cs="宋体"/>
          <w:color w:val="000000" w:themeColor="text1"/>
          <w:sz w:val="24"/>
          <w:szCs w:val="24"/>
        </w:rPr>
        <w:t>法定代表人签名：</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9" w:name="_Toc27882"/>
      <w:r>
        <w:rPr>
          <w:rFonts w:hint="eastAsia" w:ascii="宋体" w:hAnsi="宋体" w:cs="宋体"/>
          <w:color w:val="000000" w:themeColor="text1"/>
          <w:sz w:val="24"/>
          <w:szCs w:val="24"/>
        </w:rPr>
        <w:t>单位名称（盖章）：</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60" w:name="_Toc385"/>
      <w:r>
        <w:rPr>
          <w:rFonts w:hint="eastAsia" w:ascii="宋体" w:hAnsi="宋体" w:cs="宋体"/>
          <w:color w:val="000000" w:themeColor="text1"/>
          <w:sz w:val="24"/>
          <w:szCs w:val="24"/>
        </w:rPr>
        <w:t>年    月    日</w:t>
      </w:r>
      <w:bookmarkEnd w:id="60"/>
    </w:p>
    <w:p>
      <w:pPr>
        <w:pStyle w:val="141"/>
        <w:jc w:val="both"/>
        <w:rPr>
          <w:rStyle w:val="47"/>
          <w:rFonts w:ascii="宋体" w:hAnsi="宋体" w:cs="宋体"/>
          <w:color w:val="auto"/>
        </w:rPr>
      </w:pPr>
    </w:p>
    <w:sectPr>
      <w:headerReference r:id="rId12" w:type="default"/>
      <w:footerReference r:id="rId13" w:type="default"/>
      <w:pgSz w:w="11906" w:h="16838"/>
      <w:pgMar w:top="1417" w:right="1587" w:bottom="1417" w:left="1366" w:header="851" w:footer="907" w:gutter="0"/>
      <w:pgNumType w:fmt="decimal"/>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b/>
        <w:i/>
      </w:rPr>
    </w:pPr>
    <w:r>
      <w:rPr>
        <w:sz w:val="18"/>
      </w:rPr>
      <w:pict>
        <v:shape id="_x0000_s3083" o:spid="_x0000_s308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w:pict>
        <v:shape id="_x0000_s3084" o:spid="_x0000_s308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21</w:t>
                </w:r>
                <w:r>
                  <w:fldChar w:fldCharType="end"/>
                </w:r>
              </w:p>
            </w:txbxContent>
          </v:textbox>
        </v:shape>
      </w:pic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85" o:spid="_x0000_s308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86" o:spid="_x0000_s308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40</w:t>
                </w:r>
                <w:r>
                  <w:fldChar w:fldCharType="end"/>
                </w:r>
              </w:p>
            </w:txbxContent>
          </v:textbox>
        </v:shape>
      </w:pict>
    </w:r>
    <w: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16"/>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w:rPr>
        <w:sz w:val="18"/>
      </w:rPr>
      <w:pict>
        <v:shape id="_x0000_s3087" o:spid="_x0000_s308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039</w:t>
    </w:r>
    <w:r>
      <w:rPr>
        <w:rFonts w:hint="eastAsia" w:ascii="隶书" w:hAnsi="隶书" w:eastAsia="隶书" w:cs="隶书"/>
        <w:sz w:val="24"/>
        <w:szCs w:val="24"/>
      </w:rPr>
      <w:t>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w:t>
    </w:r>
    <w:r>
      <w:rPr>
        <w:rFonts w:hint="eastAsia" w:ascii="隶书" w:hAnsi="隶书" w:eastAsia="隶书" w:cs="隶书"/>
        <w:sz w:val="24"/>
        <w:szCs w:val="24"/>
        <w:lang w:eastAsia="zh-CN"/>
      </w:rPr>
      <w:t>039</w:t>
    </w:r>
    <w:r>
      <w:rPr>
        <w:rFonts w:hint="eastAsia" w:ascii="隶书" w:hAnsi="隶书" w:eastAsia="隶书" w:cs="隶书"/>
        <w:sz w:val="24"/>
        <w:szCs w:val="24"/>
      </w:rPr>
      <w:t>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039</w:t>
    </w:r>
    <w:r>
      <w:rPr>
        <w:rFonts w:hint="eastAsia" w:ascii="隶书" w:hAnsi="隶书" w:eastAsia="隶书" w:cs="隶书"/>
        <w:sz w:val="24"/>
        <w:szCs w:val="24"/>
      </w:rPr>
      <w:t>W招标文件</w:t>
    </w:r>
  </w:p>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color w:val="000000" w:themeColor="text1"/>
        <w:spacing w:val="40"/>
        <w:kern w:val="2"/>
        <w:sz w:val="21"/>
      </w:rPr>
      <w:t>2022-0</w:t>
    </w:r>
    <w:r>
      <w:rPr>
        <w:rFonts w:hint="eastAsia" w:ascii="Times New Roman" w:hAnsi="Times New Roman" w:eastAsia="隶书" w:cs="Times New Roman"/>
        <w:color w:val="000000" w:themeColor="text1"/>
        <w:spacing w:val="40"/>
        <w:kern w:val="2"/>
        <w:sz w:val="21"/>
        <w:lang w:val="en-US" w:eastAsia="zh-CN"/>
      </w:rPr>
      <w:t>39W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w:t>
    </w:r>
    <w:r>
      <w:rPr>
        <w:rFonts w:hint="eastAsia" w:ascii="隶书" w:hAnsi="隶书" w:eastAsia="隶书" w:cs="隶书"/>
        <w:sz w:val="24"/>
        <w:szCs w:val="24"/>
        <w:lang w:eastAsia="zh-CN"/>
      </w:rPr>
      <w:t>039</w:t>
    </w:r>
    <w:r>
      <w:rPr>
        <w:rFonts w:hint="eastAsia" w:ascii="隶书" w:hAnsi="隶书" w:eastAsia="隶书" w:cs="隶书"/>
        <w:sz w:val="24"/>
        <w:szCs w:val="24"/>
      </w:rPr>
      <w:t>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1A04F"/>
    <w:multiLevelType w:val="singleLevel"/>
    <w:tmpl w:val="93E1A04F"/>
    <w:lvl w:ilvl="0" w:tentative="0">
      <w:start w:val="35"/>
      <w:numFmt w:val="decimal"/>
      <w:suff w:val="nothing"/>
      <w:lvlText w:val="%1、"/>
      <w:lvlJc w:val="left"/>
    </w:lvl>
  </w:abstractNum>
  <w:abstractNum w:abstractNumId="1">
    <w:nsid w:val="D306E330"/>
    <w:multiLevelType w:val="singleLevel"/>
    <w:tmpl w:val="D306E330"/>
    <w:lvl w:ilvl="0" w:tentative="0">
      <w:start w:val="2"/>
      <w:numFmt w:val="chineseCounting"/>
      <w:suff w:val="nothing"/>
      <w:lvlText w:val="（%1）"/>
      <w:lvlJc w:val="left"/>
      <w:pPr>
        <w:textAlignment w:val="baseline"/>
      </w:pPr>
    </w:lvl>
  </w:abstractNum>
  <w:abstractNum w:abstractNumId="2">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5">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6">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7">
    <w:nsid w:val="4E2A9D5C"/>
    <w:multiLevelType w:val="singleLevel"/>
    <w:tmpl w:val="4E2A9D5C"/>
    <w:lvl w:ilvl="0" w:tentative="0">
      <w:start w:val="1"/>
      <w:numFmt w:val="chineseCounting"/>
      <w:suff w:val="space"/>
      <w:lvlText w:val="%1、"/>
      <w:lvlJc w:val="left"/>
      <w:rPr>
        <w:rFonts w:hint="eastAsia"/>
      </w:rPr>
    </w:lvl>
  </w:abstractNum>
  <w:abstractNum w:abstractNumId="8">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8"/>
  </w:num>
  <w:num w:numId="2">
    <w:abstractNumId w:val="2"/>
  </w:num>
  <w:num w:numId="3">
    <w:abstractNumId w:val="6"/>
  </w:num>
  <w:num w:numId="4">
    <w:abstractNumId w:val="1"/>
  </w:num>
  <w:num w:numId="5">
    <w:abstractNumId w:val="0"/>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TNiZmIxY2ZiNzg0NjFkYTM1MDM1ZjljNjg4M2E1YWMifQ=="/>
  </w:docVars>
  <w:rsids>
    <w:rsidRoot w:val="00F868A9"/>
    <w:rsid w:val="00003AB4"/>
    <w:rsid w:val="00015667"/>
    <w:rsid w:val="00045760"/>
    <w:rsid w:val="000570EF"/>
    <w:rsid w:val="0007632E"/>
    <w:rsid w:val="00091821"/>
    <w:rsid w:val="000B38C7"/>
    <w:rsid w:val="0011280D"/>
    <w:rsid w:val="00112E78"/>
    <w:rsid w:val="00131057"/>
    <w:rsid w:val="00165627"/>
    <w:rsid w:val="001726A6"/>
    <w:rsid w:val="00177C98"/>
    <w:rsid w:val="001A2403"/>
    <w:rsid w:val="001D5807"/>
    <w:rsid w:val="00217C7C"/>
    <w:rsid w:val="00223C79"/>
    <w:rsid w:val="00233923"/>
    <w:rsid w:val="00275521"/>
    <w:rsid w:val="002800DE"/>
    <w:rsid w:val="002A07A1"/>
    <w:rsid w:val="002C41D3"/>
    <w:rsid w:val="002C5D1F"/>
    <w:rsid w:val="00301756"/>
    <w:rsid w:val="003220F7"/>
    <w:rsid w:val="00335084"/>
    <w:rsid w:val="003367B6"/>
    <w:rsid w:val="00360929"/>
    <w:rsid w:val="003A223F"/>
    <w:rsid w:val="003A63FB"/>
    <w:rsid w:val="003A7ED9"/>
    <w:rsid w:val="003D4620"/>
    <w:rsid w:val="00410119"/>
    <w:rsid w:val="004112BF"/>
    <w:rsid w:val="00424E72"/>
    <w:rsid w:val="00426342"/>
    <w:rsid w:val="004269CB"/>
    <w:rsid w:val="00430CDA"/>
    <w:rsid w:val="004521C1"/>
    <w:rsid w:val="004558DC"/>
    <w:rsid w:val="00467A1B"/>
    <w:rsid w:val="00472EDC"/>
    <w:rsid w:val="004A24CE"/>
    <w:rsid w:val="004A66D9"/>
    <w:rsid w:val="004C48B9"/>
    <w:rsid w:val="004D2539"/>
    <w:rsid w:val="004D2FC9"/>
    <w:rsid w:val="004E2324"/>
    <w:rsid w:val="005B06C2"/>
    <w:rsid w:val="005F3329"/>
    <w:rsid w:val="00603550"/>
    <w:rsid w:val="00623144"/>
    <w:rsid w:val="006308FE"/>
    <w:rsid w:val="00637636"/>
    <w:rsid w:val="006C13AB"/>
    <w:rsid w:val="006C388E"/>
    <w:rsid w:val="006E3A7B"/>
    <w:rsid w:val="00721560"/>
    <w:rsid w:val="00780C34"/>
    <w:rsid w:val="00791354"/>
    <w:rsid w:val="007B3E85"/>
    <w:rsid w:val="0081482D"/>
    <w:rsid w:val="00814D01"/>
    <w:rsid w:val="00855EEE"/>
    <w:rsid w:val="00860E15"/>
    <w:rsid w:val="00891713"/>
    <w:rsid w:val="008C14CD"/>
    <w:rsid w:val="008D617C"/>
    <w:rsid w:val="008E3DAB"/>
    <w:rsid w:val="00913371"/>
    <w:rsid w:val="009160DE"/>
    <w:rsid w:val="009218C6"/>
    <w:rsid w:val="00933194"/>
    <w:rsid w:val="009343EF"/>
    <w:rsid w:val="0097078B"/>
    <w:rsid w:val="009710B5"/>
    <w:rsid w:val="00984819"/>
    <w:rsid w:val="00994FB8"/>
    <w:rsid w:val="009C11B1"/>
    <w:rsid w:val="009F43B8"/>
    <w:rsid w:val="00A1183C"/>
    <w:rsid w:val="00A6255B"/>
    <w:rsid w:val="00A63A39"/>
    <w:rsid w:val="00AA7C70"/>
    <w:rsid w:val="00AE15AF"/>
    <w:rsid w:val="00AE261D"/>
    <w:rsid w:val="00AF482F"/>
    <w:rsid w:val="00B357E1"/>
    <w:rsid w:val="00B715BD"/>
    <w:rsid w:val="00B719DD"/>
    <w:rsid w:val="00B8533E"/>
    <w:rsid w:val="00C05334"/>
    <w:rsid w:val="00C157C0"/>
    <w:rsid w:val="00C31CC3"/>
    <w:rsid w:val="00C8053C"/>
    <w:rsid w:val="00CB1BB5"/>
    <w:rsid w:val="00CB5B0D"/>
    <w:rsid w:val="00CC6812"/>
    <w:rsid w:val="00CC72B1"/>
    <w:rsid w:val="00D613B4"/>
    <w:rsid w:val="00D71667"/>
    <w:rsid w:val="00D75F94"/>
    <w:rsid w:val="00D94D43"/>
    <w:rsid w:val="00DD536A"/>
    <w:rsid w:val="00DF61E5"/>
    <w:rsid w:val="00E17522"/>
    <w:rsid w:val="00E4006C"/>
    <w:rsid w:val="00E918E1"/>
    <w:rsid w:val="00E9328D"/>
    <w:rsid w:val="00EA1A99"/>
    <w:rsid w:val="00EA2ECC"/>
    <w:rsid w:val="00EC1238"/>
    <w:rsid w:val="00ED76DF"/>
    <w:rsid w:val="00F05A81"/>
    <w:rsid w:val="00F539A2"/>
    <w:rsid w:val="00F661FE"/>
    <w:rsid w:val="00F868A9"/>
    <w:rsid w:val="00FA5B29"/>
    <w:rsid w:val="00FA774C"/>
    <w:rsid w:val="00FD0CEF"/>
    <w:rsid w:val="00FD7D94"/>
    <w:rsid w:val="00FF1275"/>
    <w:rsid w:val="00FF194A"/>
    <w:rsid w:val="031D3FA9"/>
    <w:rsid w:val="031F6792"/>
    <w:rsid w:val="042D1D81"/>
    <w:rsid w:val="057726A9"/>
    <w:rsid w:val="05E53B14"/>
    <w:rsid w:val="06AA3A95"/>
    <w:rsid w:val="077C4CBC"/>
    <w:rsid w:val="08FC324B"/>
    <w:rsid w:val="0BA17C72"/>
    <w:rsid w:val="0D7B4325"/>
    <w:rsid w:val="0E261538"/>
    <w:rsid w:val="0F5541A7"/>
    <w:rsid w:val="10C01A15"/>
    <w:rsid w:val="11C53F90"/>
    <w:rsid w:val="12082FD7"/>
    <w:rsid w:val="1394626A"/>
    <w:rsid w:val="149D59A3"/>
    <w:rsid w:val="15EB1115"/>
    <w:rsid w:val="18041C24"/>
    <w:rsid w:val="1B7B3068"/>
    <w:rsid w:val="1BBA26B3"/>
    <w:rsid w:val="1BC2228E"/>
    <w:rsid w:val="1C4A5552"/>
    <w:rsid w:val="1EBA0E38"/>
    <w:rsid w:val="1F2B6305"/>
    <w:rsid w:val="2079293B"/>
    <w:rsid w:val="230A6FF9"/>
    <w:rsid w:val="23B833C4"/>
    <w:rsid w:val="23FB5CA3"/>
    <w:rsid w:val="24B6415E"/>
    <w:rsid w:val="25593628"/>
    <w:rsid w:val="27C52CB5"/>
    <w:rsid w:val="284E1359"/>
    <w:rsid w:val="2CB92FDD"/>
    <w:rsid w:val="2E8C1CC3"/>
    <w:rsid w:val="2EB102D0"/>
    <w:rsid w:val="2EFB2475"/>
    <w:rsid w:val="31176B77"/>
    <w:rsid w:val="3744261E"/>
    <w:rsid w:val="3872122D"/>
    <w:rsid w:val="38CF3E86"/>
    <w:rsid w:val="39755785"/>
    <w:rsid w:val="3A8C4051"/>
    <w:rsid w:val="3B5326F5"/>
    <w:rsid w:val="3BCB58D4"/>
    <w:rsid w:val="3E0269D2"/>
    <w:rsid w:val="3E0702BE"/>
    <w:rsid w:val="3F303CD4"/>
    <w:rsid w:val="400C5A23"/>
    <w:rsid w:val="40396E60"/>
    <w:rsid w:val="404E3DFB"/>
    <w:rsid w:val="4142108B"/>
    <w:rsid w:val="42557B5A"/>
    <w:rsid w:val="45FD7F57"/>
    <w:rsid w:val="466E4440"/>
    <w:rsid w:val="468F36CE"/>
    <w:rsid w:val="477544A9"/>
    <w:rsid w:val="4CDF4FD7"/>
    <w:rsid w:val="4D2F7C0C"/>
    <w:rsid w:val="4D8959A6"/>
    <w:rsid w:val="4E703810"/>
    <w:rsid w:val="4FEA69E5"/>
    <w:rsid w:val="53E05B86"/>
    <w:rsid w:val="59465A77"/>
    <w:rsid w:val="5AB12321"/>
    <w:rsid w:val="5C01420A"/>
    <w:rsid w:val="5C172F4C"/>
    <w:rsid w:val="5C2B17E4"/>
    <w:rsid w:val="5D51151E"/>
    <w:rsid w:val="5DAA3B58"/>
    <w:rsid w:val="5E284F41"/>
    <w:rsid w:val="620E4996"/>
    <w:rsid w:val="63483C8F"/>
    <w:rsid w:val="63E27DDC"/>
    <w:rsid w:val="65113350"/>
    <w:rsid w:val="67E64767"/>
    <w:rsid w:val="681206DC"/>
    <w:rsid w:val="683D76D2"/>
    <w:rsid w:val="687674CE"/>
    <w:rsid w:val="689E2536"/>
    <w:rsid w:val="69142D6C"/>
    <w:rsid w:val="692A771C"/>
    <w:rsid w:val="6B08451F"/>
    <w:rsid w:val="6BB04F86"/>
    <w:rsid w:val="6BFD6A7B"/>
    <w:rsid w:val="6EB62D31"/>
    <w:rsid w:val="6F370BF8"/>
    <w:rsid w:val="72BA3B44"/>
    <w:rsid w:val="73E906CA"/>
    <w:rsid w:val="74A5063C"/>
    <w:rsid w:val="752F59CE"/>
    <w:rsid w:val="756048F2"/>
    <w:rsid w:val="76BE394D"/>
    <w:rsid w:val="76CB0355"/>
    <w:rsid w:val="79F82A5C"/>
    <w:rsid w:val="7B2D3BB7"/>
    <w:rsid w:val="7B545202"/>
    <w:rsid w:val="7F076987"/>
    <w:rsid w:val="7FB029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7">
    <w:name w:val="Normal Indent"/>
    <w:basedOn w:val="1"/>
    <w:qFormat/>
    <w:uiPriority w:val="0"/>
    <w:pPr>
      <w:ind w:firstLine="420"/>
    </w:p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8"/>
    <w:next w:val="2"/>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83" textRotate="1"/>
    <customShpInfo spid="_x0000_s3081" textRotate="1"/>
    <customShpInfo spid="_x0000_s3084" textRotate="1"/>
    <customShpInfo spid="_x0000_s3085" textRotate="1"/>
    <customShpInfo spid="_x0000_s3086" textRotate="1"/>
    <customShpInfo spid="_x0000_s3078"/>
    <customShpInfo spid="_x0000_s308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19596</Words>
  <Characters>20750</Characters>
  <Lines>172</Lines>
  <Paragraphs>48</Paragraphs>
  <TotalTime>1</TotalTime>
  <ScaleCrop>false</ScaleCrop>
  <LinksUpToDate>false</LinksUpToDate>
  <CharactersWithSpaces>22880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赵萌</cp:lastModifiedBy>
  <cp:lastPrinted>2022-10-21T01:34:00Z</cp:lastPrinted>
  <dcterms:modified xsi:type="dcterms:W3CDTF">2022-11-09T08:36:39Z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9F80F8BCDA0F4E60A5462450DFD83EA4</vt:lpwstr>
  </property>
</Properties>
</file>